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142 vom 2. Dezember 2011</w:t>
      </w:r>
    </w:p>
    <w:p>
      <w:r>
        <w:t>VD Tribunal cantonal, 2011-12-02, FR</w:t>
      </w:r>
    </w:p>
    <w:p>
      <w:r>
        <w:rPr>
          <w:b/>
        </w:rPr>
        <w:t xml:space="preserve">Quelle: </w:t>
      </w:r>
      <w:r>
        <w:t>https://mcp.opencaselaw.ch/entscheid/vd_findinfo_Jug___2012___142</w:t>
      </w:r>
    </w:p>
    <w:p>
      <w:r>
        <w:t>FR: VD_FINDINFO Jug / 2012 / 142 du 2 décembre 2011</w:t>
      </w:r>
    </w:p>
    <w:p>
      <w:r>
        <w:t>IT: VD_FINDINFO Jug / 2012 / 142 del 2 dicembre 2011</w:t>
      </w:r>
    </w:p>
    <w:p>
      <w:pPr>
        <w:pStyle w:val="Heading2"/>
      </w:pPr>
      <w:r>
        <w:t>Regeste</w:t>
      </w:r>
    </w:p>
    <w:p>
      <w:r>
        <w:t>CONSTATATION DES FAITS, VOL D'USAGE, PRÉSOMPTION D'INNOCENCE | 94 ch. 1 al. 1 LCR, 398 al. 3 let. b CPP (CH)</w:t>
      </w:r>
    </w:p>
    <w:p>
      <w:pPr>
        <w:pStyle w:val="Heading2"/>
      </w:pPr>
      <w:r>
        <w:t>Erwägungen</w:t>
      </w:r>
    </w:p>
    <w:p>
      <w:r>
        <w:rPr>
          <w:b/>
        </w:rPr>
        <w:t>E. 1</w:t>
      </w:r>
    </w:p>
    <w:p>
      <w:r>
        <w:t>Le nouveau droit de procédure est applicable bien que les faits à l'origine de la procédure soient antérieurs au 1 er janvier 2011 (art. 48 al. 1 PPMin). Le droit de procédure applicable aux mineurs renvoie en principe au CPP (art. 3 al. 1 PPMin), étant précisé que les exceptions visées à l'al.</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1.3</w:t>
      </w:r>
    </w:p>
    <w:p>
      <w:r>
        <w:t>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2</w:t>
      </w:r>
    </w:p>
    <w:p>
      <w:r>
        <w:t>Le vol d'usage (d'un véhicule automobile) est réprimé par l'art. 94 ch. 1 al. 1 LCR, applicable aux mineurs par renvoi de l'art. 1 al. 1 let. a in fine DPMin. Pour retenir cette infraction, le Tribunal des mineurs a tenu pour avéré que le prévenu, qui n'avait pas l'âge minimal requis pour être titulaire du permis de conduire (art. 6 OAC), avait fait le plein de benzine auprès de la station d'essence [...] sise [...], à [...], puis qu'il avait repris le volant, sans qu'on puisse exclure qu'il conduisait un autre véhicule que celui de ses parents.</w:t>
      </w:r>
    </w:p>
    <w:p>
      <w:r>
        <w:rPr>
          <w:b/>
        </w:rPr>
        <w:t>E. 3</w:t>
      </w:r>
    </w:p>
    <w:p>
      <w:r>
        <w:t>Il est établi que la carte d'identité du prévenu a été remise en garantie à la gérante de la station-service par l'unique occupant de la voiture. Confiée à la police par la plaignante, cette carte comportait la photographie d'un adolescent – dont il est incontesté qu'il s'agissait du prévenu. Le document en question n'a cependant pas été versé au dossier. La remise à la cour pour examen de deux cartes d'identité établies au nom du prévenu – l'une périmée, l'autre valide – lors de l'audience d'appel ne permet pas de déterminer quelle carte avait eu en mains la caissière, ni donc quel âge avait l'intéressé sur la photographie le représentant sur la pièce en cause. Cette question n'est toutefois pas déterminante.</w:t>
      </w:r>
    </w:p>
    <w:p>
      <w:r>
        <w:rPr>
          <w:b/>
        </w:rPr>
        <w:t>E. 3.2</w:t>
      </w:r>
    </w:p>
    <w:p>
      <w:r>
        <w:t>La question à trancher est bien plutôt celle de savoir si la caissière a pu confondre le titulaire de la carte et le conducteur. D'abord, et contrairement à ce que font plaider les parents du prévenu, une confusion n'est pas possible entre l'appelant et l'un ou l'autre de ses parents. En particulier, le père de l'adolescent, né en 1954, a 40 ans de plus que son fils; on ne voit au surplus guère comment cet adolescent pourrait, dans quelques circonstances que ce soit, être confondu avec la femme adulte qu'est sa mère. Au surplus, il apparaît insolite que la mère garde par devers elle des cartes d'identité de ses enfants. A défaut de toute erreur commise de bonne foi, seule reste en cause l'hypothèse de la malveillance de la caissière, que les parents du prévenu ont plaidée à l'audience après avoir tenté d'invoquer une simple confusion de sa part. A cet égard, il n'existe pas de mobile pour le mensonge allégué de la gérante, laquelle n'a à l'évidence aucune raison d'en vouloir ni au prévenu, ni à aucun membre de sa famille. En particulier, une créance en souffrance de 40 fr. 05 ne saurait être réputée à l'origine d'un tel comportement. L'allégation d'un acte de malveillance n'est au surplus guère compatible avec le fait que la mère du prévenu soit demeurée cliente de la station en question après les faits.</w:t>
      </w:r>
    </w:p>
    <w:p>
      <w:r>
        <w:rPr>
          <w:b/>
        </w:rPr>
        <w:t>E. 3.3</w:t>
      </w:r>
    </w:p>
    <w:p>
      <w:r>
        <w:t>On sait donc qu’un jeune homme d’origine africaine a pris de l’essence le jour en question, en laissant la carte d’identité de l’appelant. On ne peut cependant tenir pour établi au-delà de tout doute raisonnable qu’il s’agissait bien du prévenu. Au moment des faits, il n’avait pas même 16 ans. Aujourd’hui, il n’a pas l’air d’avoir plus que son âge. La Cour n’a pas la naïveté de croire qu’il est impossible qu’un jeune de moins de 16 ans se mette au volant de la voiture de ses parents à leur insu. Toutefois, on ne comprend pas comment dans ces circonstances le témoin a pu décrire le prévenu comme étant un « jeune homme », alors que ces termes sont tout juste propres à le décrire aujourd’hui. En mars 2010, il ne pouvait qu’avoir l’air d’un enfant, ce qui ne pouvait échapper au témoin. On peine aussi à comprendre que le prévenu ait pu laisser sa carte d’identité dont il ressort à l’évidence qu’il n’a pas l’âge de conduire pour garantir le paiement de 40 fr. 05. On ne comprend pas pour quel motif il aurait traversé toute la ville pour prendre de l’essence à cette station service. Enfin, on ne saurait exclure une confusion avec un autre jeune qui aurait pu être en possession de sa carte d’identité, et notamment son frère, né en 1991, ou un ami. Dans ces circonstances particulières, la cour considère qu’un doute irréductible quant à l’identité du conducteur du véhicule demeure et qu’il doit profiter au prévenu. Il s'ensuit qu'il y a lieu de prononcer l'acquittement du prévenu.</w:t>
      </w:r>
    </w:p>
    <w:p>
      <w:r>
        <w:rPr>
          <w:b/>
        </w:rPr>
        <w:t>E. 4</w:t>
      </w:r>
    </w:p>
    <w:p>
      <w:r>
        <w:t>En définitive, l'appel doit être admis en ce sens que l'appelant est libéré des fins de la poursuite pénale, les frais de première instance étant laissés à la charge de l'Etat. Les frais de la procédure d'appel sont laissés à la charge de l'Etat (art. 428 al. 1 CPP, applicable par analogie par renvoi de l'art. 44 al. 2 PPMin). Outre l'émolument (art. 21 al. 1 et 2 TFJP), ces frais comprennent l'indemnité allouée au défenseur d’office du prévenu pour la procédure d’appel (cf. art. 135 al. 2, applicable par renvoi de l'art. 3 al. 1 PPMin, et 422 al. 2 let. a CPP, applicable par analogie par renvoi de l'art. 44 al. 2 PPMin; art. 2 al. 2 ch. 1 TFJP). Au vu de la complexité de la cause et de l'ampleur des opérations effectuées, cette indemnité doit être arrêtée à 1’220 fr. 40,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