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 vom 7. Dezember 2011</w:t>
      </w:r>
    </w:p>
    <w:p>
      <w:r>
        <w:t>VD Tribunal cantonal, 2011-12-07, FR</w:t>
      </w:r>
    </w:p>
    <w:p>
      <w:r>
        <w:rPr>
          <w:b/>
        </w:rPr>
        <w:t xml:space="preserve">Quelle: </w:t>
      </w:r>
      <w:r>
        <w:t>https://mcp.opencaselaw.ch/entscheid/vd_findinfo_Jug___2012___14</w:t>
      </w:r>
    </w:p>
    <w:p>
      <w:r>
        <w:t>FR: VD_FINDINFO Jug / 2012 / 14 du 7 décembre 2011</w:t>
      </w:r>
    </w:p>
    <w:p>
      <w:r>
        <w:t>IT: VD_FINDINFO Jug / 2012 / 14 del 7 dicembre 2011</w:t>
      </w:r>
    </w:p>
    <w:p>
      <w:pPr>
        <w:pStyle w:val="Heading2"/>
      </w:pPr>
      <w:r>
        <w:t>Regeste</w:t>
      </w:r>
    </w:p>
    <w:p>
      <w:r>
        <w:t>PEINE, PRÉVENTION GÉNÉRALE ET SPÉCIALE, SÉJOUR ILLÉGAL | 41 CP, 47 CP</w:t>
      </w:r>
    </w:p>
    <w:p>
      <w:pPr>
        <w:pStyle w:val="Heading2"/>
      </w:pPr>
      <w:r>
        <w:t>Erwägungen</w:t>
      </w:r>
    </w:p>
    <w:p>
      <w:r>
        <w:rPr>
          <w:b/>
        </w:rPr>
        <w:t>E. 1.1</w:t>
      </w:r>
    </w:p>
    <w:p>
      <w:r>
        <w:t>Déposé en temps utile et contenant des conclusions conformes à l'art. 399 al. 3 CPP, l'appel est recevable (art. 399 al. 1 et 3 CP;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w:t>
      </w:r>
    </w:p>
    <w:p>
      <w:r>
        <w:t>Pour le Ministère public, seule une peine privative de liberté devrait être infligée à P.________, "[…] parce qu'en imposant une peine pécuniaire ferme à une personne résolument décidée à rester illégalement en Suisse, il (le tribunal) l'instigue à commettre un autre délit, celui de travailler illicitement pour pouvoir s'en acquitter […]".</w:t>
      </w:r>
    </w:p>
    <w:p>
      <w:r>
        <w:rPr>
          <w:b/>
        </w:rPr>
        <w:t>E. 2.1</w:t>
      </w:r>
    </w:p>
    <w:p>
      <w:r>
        <w:t>La question du genre de peine doit être examinée à la lumière des art. 41 et 47 CP.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 D'après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arrêt 6B_234/2010 du 4 janvier 2011 c. 4.1.1). En l'espèce, il convient préalablement de déterminer si les conditions du sursis sont réunies ou non, point déterminant au regard de l'art. 41 al. 1 CP. Cette question s'examine selon les critères posés par l'art. 42 CP, qui ont été rappelés dans l'arrêt publié aux ATF 135 IV 180 c. 2.1. Il y est renvoyé. Le sursis est désormais la règle dont on ne peut s'écarter qu'en présence d'un pronostic défavorable. Il prime en cas d'incertitude (cf. ATF 134 IV 5 c. 4.2.2).</w:t>
      </w:r>
    </w:p>
    <w:p>
      <w:r>
        <w:rPr>
          <w:b/>
        </w:rPr>
        <w:t>E. 2.2</w:t>
      </w:r>
    </w:p>
    <w:p>
      <w:r>
        <w:t>Dans le cas présent, le prévenu a déjà été condamné à deux reprises par le Juge d'instruction de l'arrondissement de Lausanne à des peines privatives de liberté. Ainsi, le 26 janvier 2007, il s'est vu infliger 15 jours d'emprisonnement avec sursis pendant deux ans pour violation de la Loi fédérale sur le séjour et l'établissement des étrangers. Le 10 novembre 2008, il a derechef été condamné à 40 jours d'emprisonnement (peine d'ensemble avec la condamnation du 26 janvier 2007), pour entrée illégale, séjour illégal et activité lucrative sans autorisation. Le sursis accordé le 26 janvier 2007 a été révoqué. Ces peines ne l'ont pas empêché de récidiver. En effet, comme il l'admet lui-même devant le premier juge (procès-verbal, p. 3), P.________ a poursuivi son activité délictueuse en 2009 et 2010, ce qui est à l'origine de la présente procédure. Cela ne peut que conduire à un pronostic défavorable (TF du 14 juin 2011, 6B_128/2011, c. 3.2), ce qui n'est d'ailleurs contesté par aucune des parties. Le fait que l'intimé a déposé en août 2010 une demande de régularisation et que le SPOP a rapporté sa décision de P.________ n'a jamais respecté les décisions de renvoi. Dès lors que le pronostic est défavorable et que, par conséquent, un sursis est exclu, la première condition de l'art. 41 al. 1 CP est réalisée. Il convient ensuite d'examiner la seconde condition de la disposition précitée, soit de déterminer si une peine pécuniaire peut être exécutée; un travail d'intérêt général n'entre pas considération. En soi, le prononcé d'une peine pécuniaire n'est pas exclu, comme l'affirme l'appelant, en raison du caractère illicite des gains de l'intimé. Dans un arrêt récent (TF du 22 août 2011, 6B_1000/2010), notre Haute Cour a précisé que les revenus d'une activité lucrative illégale ne doivent pas être considérés comme le résultat d'une infraction et ne sont pas confiscables selon l'art. 70 CP. Son analyse est fondée sur les normes régissant le contrat de travail des travailleurs au noir, selon la loi sur le travail au noir (LTN, RS 822.41). Ainsi on ne peut pas considérer qu'une peine privative de liberté s'impose du fait que le condamné travaille au noir. P.________ a persisté dans sa délinquance, malgré deux peines de prison. La condamnation prononcée en 2008 était ferme et a été exécutée. Les condamnations antérieures à des peines de prison n'ont donc eu aucun effet dissuasif sur ce prévenu, qui a aussi ignoré les trois interdictions d'entrée en Suisse dont il a fait l'objet. Si une peine privative de liberté n'a eu aucun effet sur l'intéressé, une peine pécuniaire apparaît a fortiori dénuée de toute efficacité. Une telle peine peut ainsi être exclue pour des motifs de prévention spéciale s'agissant d'un condamné qui présente une insensibilité à toutes les formes de sanction et doit savoir que ses récidives sont sanctionnées par des peines privatives de liberté (TF du 14 juin 2011 6B_128/2011, c. 3.4) Les conditions d'application de l'art. 41 CP sont donc remplies.</w:t>
      </w:r>
    </w:p>
    <w:p>
      <w:r>
        <w:rPr>
          <w:b/>
        </w:rPr>
        <w:t>E. 2.3</w:t>
      </w:r>
    </w:p>
    <w:p>
      <w:r>
        <w:t>En définitive, c’est bien une peine privative de liberté qui doit être infligée à P.________ Sur ce point, l'appel apparaît donc bien fondé, même s'il l'est pour d'autres motifs que ceux invoqués par l'appelant.</w:t>
      </w:r>
    </w:p>
    <w:p>
      <w:r>
        <w:rPr>
          <w:b/>
        </w:rPr>
        <w:t>E. 3</w:t>
      </w:r>
    </w:p>
    <w:p>
      <w:r>
        <w:t>Le Ministère public requiert une peine privative de liberté de 110 jours, sous déduction de 5 jours de détention préventive (ch. III de ses conclusions). S'agissant de la quotité de cette peine, le premier juge l'a fixée à 40 jours, ce qui est adéquat au regard des infractions commises et de la culpabilité de P.________. Cette peine doit être confirmée dès lors qu'elle ne relève ni d’un abus ni d’un excès du pouvoir d’appréciation, qu'elle respecte les critères déterminants consacrés à l’art. 47 CP et que la requête d’aggravation du Ministère public n'a pas été admise.</w:t>
      </w:r>
    </w:p>
    <w:p>
      <w:r>
        <w:rPr>
          <w:b/>
        </w:rPr>
        <w:t>E. 4</w:t>
      </w:r>
    </w:p>
    <w:p>
      <w:r>
        <w:t>En conclusion, l'appel doit être partiellement admis et le jugement attaqué réformé en ce sens que P.________ est condamné à une peine privative de liberté de 40 jours.</w:t>
      </w:r>
    </w:p>
    <w:p>
      <w:r>
        <w:rPr>
          <w:b/>
        </w:rPr>
        <w:t>E. 5</w:t>
      </w:r>
    </w:p>
    <w:p>
      <w:r>
        <w:t>Vu le sort de l'appel et de la requête d'aggravation, les frais de la procédure de seconde instance doivent être mis par moitié à la charge de l’intimé (art. 428 al. 1 CPP), l'autre moitié étant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