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131 vom 7. Februar 2012</w:t>
      </w:r>
    </w:p>
    <w:p>
      <w:r>
        <w:t>VD Tribunal cantonal, 2012-02-07, FR</w:t>
      </w:r>
    </w:p>
    <w:p>
      <w:r>
        <w:rPr>
          <w:b/>
        </w:rPr>
        <w:t xml:space="preserve">Quelle: </w:t>
      </w:r>
      <w:r>
        <w:t>https://mcp.opencaselaw.ch/entscheid/vd_findinfo_Jug___2012___131</w:t>
      </w:r>
    </w:p>
    <w:p>
      <w:r>
        <w:t>FR: VD_FINDINFO Jug / 2012 / 131 du 7 février 2012</w:t>
      </w:r>
    </w:p>
    <w:p>
      <w:r>
        <w:t>IT: VD_FINDINFO Jug / 2012 / 131 del 7 febbraio 2012</w:t>
      </w:r>
    </w:p>
    <w:p>
      <w:pPr>
        <w:pStyle w:val="Heading2"/>
      </w:pPr>
      <w:r>
        <w:t>Regeste</w:t>
      </w:r>
    </w:p>
    <w:p>
      <w:r>
        <w:t>AUTORITÉ PARENTALE CONJOINTE, RETRAIT DE L'AUTORITÉ PARENTALE, DOMICILE EN SUISSE, DROIT INTERNATIONAL PRIVÉ | 298a al. 2 CC, 314 ch. 1 CC, 315 al. 1 CC, 315 al. 2 CC, 399a CPC, 5 LDIP, 7 LDIP, 85 LDIP, 174 al. 2 CDPJ</w:t>
      </w:r>
    </w:p>
    <w:p>
      <w:pPr>
        <w:pStyle w:val="Heading2"/>
      </w:pPr>
      <w:r>
        <w:t>Erwägungen</w:t>
      </w:r>
    </w:p>
    <w:p>
      <w:r>
        <w:rPr>
          <w:b/>
        </w:rPr>
        <w:t>E. 1</w:t>
      </w:r>
    </w:p>
    <w:p>
      <w:r>
        <w:t>La cour de céans doit statuer sur la modification de l'attribution de l'autorité parentale exercée conjointement par le père et la mère sur l'enfant mineure B.W.________. a) La mère et la jeune fille étant toutes deux de nationalité française, la cause présente un élément d'extranéité. A teneur de l'art. 85 al. 1 LDIP (Loi sur le droit international privé du 18 décembre 1987,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le 1 er juillet 2009 pour la Suisse et le 1 er février 2011 pour la France (CTUT, 11 août 2011/153; TF 5A_440/2011 du 25 octobre 2011 c. 2.1),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des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Si la CLaH ne définit pas la notion de résidence habituelle, 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nos 3 et 4 ad art. 85 LDIP, pp. 280 et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En l'espèce, l'enfant mineure B.W.________ vit en Suisse avec sa mère  depuis 2006 et est scolarisée dans ce pays. Elle y a donc sa résidence habituelle, de sorte que les autorités judiciaires suisses sont compétentes pour prendre les mesures de protection prévues par le droit suisse. b)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w:t>
      </w:r>
    </w:p>
    <w:p>
      <w:r>
        <w:rPr>
          <w:b/>
        </w:rPr>
        <w:t>E. 2</w:t>
      </w:r>
    </w:p>
    <w:p>
      <w:r>
        <w:t>La justice de paix a transmis son dossier à l'autorité de surveillance, soit à la Chambre des tutelles (art. 76 LOJV, Loi vaudoise d'organisation judiciaire du 12 décembre 1979, RSV 173.01), conformément à l'art. 399a al. 1 CPC-VD, qui reste applicable conformément à l'art. 174 al. 2 CDPJ, Code de droit privé judiciaire vaudois du 12 janvier 2010, RSV 211.01), après que le juge de paix eut instruit une enquête répondant aux exigences de l'art. 400 CPC-VD. La Justice de paix a procédé à l'audition d'C.W.________ à son audience du 2 novembre 2011. Régulièrement cité à comparaître, C.________ a fait défaut. Malgré la possibilité qui lui a été offerte de faire valoir ses moyens, C.________ ne s'est pas manifesté. C.________ ayant été régulièrement invité à se déterminer, on doit par conséquent admettre que le droit d'être entendu des parents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Dans le cas particulier, B.W.________ n'a pas été entendue formellement par la Justice de paix. Elle a toutefois été vue et entendue par le SPJ. L'audition de l'enfant ayant été effectuée par un organisme approprié et celui-ci ayant retranscrit son avis, il y a lieu de considérer que son droit d'être entendu a été respecté. Les conditions de procédure posées par les art. 399a ss CPC-VD étant remplies, l'autorité de céans est en mesure de statuer.</w:t>
      </w:r>
    </w:p>
    <w:p>
      <w:r>
        <w:rPr>
          <w:b/>
        </w:rPr>
        <w:t>E. 3</w:t>
      </w:r>
    </w:p>
    <w:p>
      <w:r>
        <w:t>Aux termes de l'art. 298a al. 2 CC, à la requête du père ou de la mère, de l'enfant ou de l'autorité tutélaire, l'autorité tutélaire de surveillance modifie l'attribution de l'autorité parentale lorsque des faits nouveaux importants l'exigent pour le bien de l'enfant. Chaque divergence des parents concernant les enfants ne constitue pas un fait nouveau important. L'autorité parentale conjointe ne peut être simplement "résiliée". Les conditions d'une modification ne sont toutefois pas aussi strictes qu'en matière de retrait de l'autorité parentale. Elles impliquent surtout que les fondements essentiels de la responsabilité commune des parents n'existent plus et que, dans l'intérêt de l'enfant, l'autorité parentale doive être attribuée à l'un des deux parents (Meier/Stettler, Droit de la filiation, 4 e éd., Genève-Zurich-Bâle 2009, n o 511, p. 302). Il faut que les parents ne soient plus en mesure de coopérer pour le bien de l'enfant (Schwenzer, Basler Kommentar, 4 e éd., 2010, n. 13 ad art. 298a CC,; TF 5P.212/2002 du 12 novembre 2002, publié in FamPra.ch 2003/60; TF 5A.721/2011 du 4 janvier 2012 c. 2.1; TF 5A_831/2010 du 14 novembre 2011 c. 3.1.; TF 5A_638/2010 du 10 novembre 2010 c. 2.1, in FamPra.ch 2011 p. 501). En l'espèce, les parents de l'enfant vivent séparés depuis de nombreuses années. Le père a toujours vécu en France, alors que la mère et ses deux filles ont résidé dans divers pays pour s'établir en Suisse où elles vivent toujours actuellement. Le conflit qui oppose les parents est profond. B.W.________ n'a plus de contact avec son père depuis six ans et ne souhaite pas en l'état renouer de relations avec lui. Tant les autorités françaises que les autorités suisses ont multiplié leurs efforts pour rétablir un lien entre le père et la jeune fille, toutefois en vain. B.W.________ n'est séparée que par quelques mois de sa majorité. Après enquête, le SPJ a préavisé favorablement à l'attribution exclusive de l'autorité parentale à la mère et l'autorité tutélaire a fait de même. Il est ainsi manifeste que les fondements essentiels de la responsabilité commune des parents n'existent plus et qu'il doit être mis fin à l'exercice commun de l'autorité parentale. Au demeurant, à ce stade de la procédure, le père de l'enfant ne s'est pas manifesté pour s'opposer au retrait de son autorité parentale conjointe. Il y a donc lieu d'attribuer l'autorité parentale sur l'enfant exclusivement à la mère.</w:t>
      </w:r>
    </w:p>
    <w:p>
      <w:r>
        <w:rPr>
          <w:b/>
        </w:rPr>
        <w:t>E. 4</w:t>
      </w:r>
    </w:p>
    <w:p>
      <w:r>
        <w:t>En conclusion, l'autorité parentale sur B.W.________, née le [...] 1994, est attribuée exclusivement à sa mère C.W.________. Le présent jugement est rendu sans frais (art. 406 al. 2 CPC-VD). Par ces motifs, la Chambre des tutelles du Tribunal cantonal, statuant à huis clos, prononce : I. L'autorité parentale sur l'enfant B.W.________, née le [...] 1994, est attribuée exclusivement à C.W.________. II. Le jugement est rendu sans frais. Le président :              La greffière : Du</w:t>
      </w:r>
    </w:p>
    <w:p>
      <w:r>
        <w:rPr>
          <w:b/>
        </w:rPr>
        <w:t>E. 7</w:t>
      </w:r>
    </w:p>
    <w:p>
      <w:r>
        <w:t>février 2012 Le dispositif du jugement qui précède est communiqué par écrit aux intéressés. La  greffière  : Du Le jugement qui précède, dont la rédaction a été approuvée à huis clos, est notifié à : ‑ Me Laurent Moreillon (pour B.W.________), ‑ M. C.________, - Service de protection de la jeunesse,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