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129 vom 30. November 2011</w:t>
      </w:r>
    </w:p>
    <w:p>
      <w:r>
        <w:t>VD Tribunal cantonal, 2011-11-30, FR</w:t>
      </w:r>
    </w:p>
    <w:p>
      <w:r>
        <w:rPr>
          <w:b/>
        </w:rPr>
        <w:t xml:space="preserve">Quelle: </w:t>
      </w:r>
      <w:r>
        <w:t>https://mcp.opencaselaw.ch/entscheid/vd_findinfo_Jug___2012___129</w:t>
      </w:r>
    </w:p>
    <w:p>
      <w:r>
        <w:t>FR: VD_FINDINFO Jug / 2012 / 129 du 30 novembre 2011</w:t>
      </w:r>
    </w:p>
    <w:p>
      <w:r>
        <w:t>IT: VD_FINDINFO Jug / 2012 / 129 del 30 novembre 2011</w:t>
      </w:r>
    </w:p>
    <w:p>
      <w:pPr>
        <w:pStyle w:val="Heading2"/>
      </w:pPr>
      <w:r>
        <w:t>Regeste</w:t>
      </w:r>
    </w:p>
    <w:p>
      <w:r>
        <w:t>LÉSION CORPORELLE PAR NÉGLIGENCE, INDEMNITÉ{EN GÉNÉRAL}, PRÉVENU, ACQUITTEMENT | 125 CP, 429 CPP (CH), 432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interjetés dans les formes et délais légaux par des parties ayant qualité pour le faire (art. 382 al. 1 CPP) et contre un jugement d’un tribunal de première instance ayant clos la procédure (art. 398 al. 1 CPP), les appels interjetés par Q.________ et B.________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B.________ soutient que Q.________ a violé les règles de prudence prévues par la LCR (Loi sur la circulation routière; RS 741.01) et qu'il doit en conséquence être condamné pour lésions corporelles graves par négligence. Q.________ soutient pour sa part qu'il a droit à une indemnité fondée sur l'art. 429 al. 1 CPP, dès lors qu'il a été acquitté. Le sort de l'appel formé par Q.________ dépendant de celui formé par B.________, il convient de traiter d'abord l'appel de B.________.</w:t>
      </w:r>
    </w:p>
    <w:p>
      <w:r>
        <w:rPr>
          <w:b/>
        </w:rPr>
        <w:t>E. 3.1</w:t>
      </w:r>
    </w:p>
    <w:p>
      <w:r>
        <w:t>Selon l'art. 125 CP, celui qui, par négligence, aura fait subir à une personne une atteinte à l'intégrité corporelle ou à la santé sera, sur plainte, puni d'une peine privative de liberté de trois ans au plus ou d'une peine pécuniaire. L'art. 125 al. 2 CP prévoit que, si la lésion est grave, l'auteur sera poursuivi d'office. La réalisation de cette infraction suppose la réunion de trois conditions : l'existence de lésions corporelles, respectivement de lésions corporelles graves, une négligence et un lien de causalité entre la négligence et les lésions.</w:t>
      </w:r>
    </w:p>
    <w:p>
      <w:r>
        <w:rPr>
          <w:b/>
        </w:rPr>
        <w:t>E. 3.2</w:t>
      </w:r>
    </w:p>
    <w:p>
      <w:r>
        <w:t>En l'occurrence, il n'est pas contesté que les lésions subies par la victime sont graves au sens des art. 122 et 125 CP. Sont litigieuses les questions de savoir si Q.________ a fait preuve de négligence et si le comportement de la victime est propre à rompre le lien de causalité.</w:t>
      </w:r>
    </w:p>
    <w:p>
      <w:r>
        <w:rPr>
          <w:b/>
        </w:rPr>
        <w:t>E. 3.2.1</w:t>
      </w:r>
    </w:p>
    <w:p>
      <w:r>
        <w:t>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risques admissible (ATF 129 IV 119 c. 2.1; ATF 122 IV 145 c. 3b/aa; ATF 122 IV 133 c. 2a ; ATF 122 IV 17 c. 2b; ATF 121 IV 207 c. 2a). Pour déterminer plus précisément quels étaient les devoirs imposés par la prudence, on peut se référer à des normes édictées par l'ordre juridique pour assurer la sécurité et éviter les accidents. A défaut de dispositions légales ou réglementaires, on peut s'inspirer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c. 2b/aa; ATF 122 IV 145 c. 3b/aa; ATF 121 IV 207 c. 2a). S'agissant d'un accident de la route, il convient de se référer aux règles de la circulation routière (ATF 122 IV 133 c. 2a; TF 6S.341/2005 du 27 octobre 2005, c. 1.1) Selon l'art.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 2baa; ATF103 IV 101 c. 2b).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w:t>
      </w:r>
    </w:p>
    <w:p>
      <w:r>
        <w:rPr>
          <w:b/>
        </w:rPr>
        <w:t>E. 3.2.2</w:t>
      </w:r>
    </w:p>
    <w:p>
      <w:r>
        <w:t>Le premier juge a considéré que la faute du plaignant apparaissait prépondérante et que le prévenu n'avait pu, à tout le moins au bénéfice du doute, éviter le choc. Il convient d'admettre l'appréciation du premier juge. En effet, il résulte tout d'abord du témoignage d' [...], que le piéton B.________ avait parcouru environ 5 mètres sur la chaussée nord de l'avenue de Rhodanie lorsqu'il a été percuté par le véhicule piloté par Q.________. Bien qu'il ne soit pas possible de déterminer exactement la vitesse du piéton, on peut estimer qu'il progressait à une allure de 4 m/s, même en tenant compte du facteur d'accélération, ce qui correspond à une vitesse légèrement inférieure à 15 km/h. Cette vitesse paraît raisonnable, compte tenu de l'âge et de l'apparente bonne santé du plaignant avant l'accident. Il en résulte que le piéton a été visible pour l'automobiliste durant environ une seconde et demie. On admet usuellement un temps de réaction pouvant aller jusqu'à une seconde pour que l'automobiliste actionne ses freins en cas de danger, lorsque le conducteur n'a aucune raison de se tenir prêt à freiner (ATF 89 IV 140 c. 3, JT 1964 I 398). Il faut en outre ajouter le temps de réaction mécanique de la voiture. Il est donc établi, à tout le moins au bénéfice du doute, que Q.________ ne pouvait éviter la collision, étant précisé qu'à 40 km/h, avec un cœfficient de freinage de 7.0, le temps de freinage est de 1.5 seconde. Ainsi, l'éventuelle inattention, contestée par le conducteur, n'a joué aucun rôle dans le processus accidentel. Aucune faute ne peut dès lors être retenue contre Q.________. En outre, le comportement de la victime consistant à se précipiter soudainement sur la chaussée est propre à rompre le lien de causalité, la collision étant inévitable. Le jugement libérant Q.________ de l'accusation de lésions corporelles graves par négligence doit par conséquent être confirmé.</w:t>
      </w:r>
    </w:p>
    <w:p>
      <w:r>
        <w:rPr>
          <w:b/>
        </w:rPr>
        <w:t>E. 4</w:t>
      </w:r>
    </w:p>
    <w:p>
      <w:r>
        <w:t>L'appel de B.________ étant rejeté, il convient d'entrer en matière sur l'appel de Q.________ sollicitant le droit à une indemnité fondée sur l'art. 429 al. 1 CPP.</w:t>
      </w:r>
    </w:p>
    <w:p>
      <w:r>
        <w:rPr>
          <w:b/>
        </w:rPr>
        <w:t>E. 4.1</w:t>
      </w:r>
    </w:p>
    <w:p>
      <w:r>
        <w:t>Il est constant que Q.________ n'a formulé aucune prétention de ce chef durant la procédure de première instance. Conformément à l'art. 429 al. 2 CPP, l'autorité pénale examine d'office les prétentions du prévenu au sujet de son indemnisation et peut l'enjoindre à les chiffrer et à les justifier. Se pose ainsi la question de savoir si le prévenu peut obtenir une telle indemnité en deuxième instance, dès lors qu'il n'a formulé aucune prétention durant la procédure de première instance. En vertu du renvoi de l'art. 436 al. 1 CPP, les prétentions en indemnité dans la procédure de recours sont également régies par les art. 429 à 434 CPP. La doctrine en déduit que, comme pour les frais, le règlement des indemnités doit être examiné séparément à chaque stade de la procédure (Mizel/Rétornaz, in Khun/Jeanneret (éd.), Commentaire romande, Code de procédure pénale suisse, Bâle 2011, n. 3 ad art. 436 CPP et les réf. cit.). La cause d'indemnisation résultant d'un acquittement prononcé en première instance, il n'appartient pas à la Cour d'appel de statuer à la place de la juridiction de première instance.</w:t>
      </w:r>
    </w:p>
    <w:p>
      <w:r>
        <w:rPr>
          <w:b/>
        </w:rPr>
        <w:t>E. 4.2</w:t>
      </w:r>
    </w:p>
    <w:p>
      <w:r>
        <w:t>Toutefois, dans la mesure où Q.________ se plaint de n'avoir pas été interpellé préalablement au sujet des conséquences d'un éventuel acquittement, il convient d'examiner si son droit d'être entendu n'a pas été respecté. Le droit d'être entendu est réglé spécifiquement par l'art. 107 CPP. L'alinéa 2 de cette disposition impose expressément aux autorités pénales l'obligation d'attirer l'attention des parties qui ne sont pas versées dans la matière juridique sur leurs droits. Le message du Conseil fédéral (Message du Conseil fédéral relatif à l’unification du droit de la procédure pénale du 21 décembre 2005, FF 2006 pp. 1057 ss, spéc. pp. 1142 s.) précise qu'il s'agit généralement de personnes qui ne sont pas représentées en justice, ce qu'il faut manifestement comprendre par celles qui ne sont pas assistées en justice. Tel n'était pas le cas de Q.________ qui bénéficiait de l'assistance d'un avocat de choix. Il n'y a dès lors aucune violation du droit d'être entendu. Q.________ ne peut rien déduire non plus d'une interprétation littérale de l'art. 429 al. 2 CPP. Cette disposition signifie en effet l'exclusion de la maxime des débats (Mizel/Rétornaz, op. cit., n. 55 ad art. 429 CPP) mais non l'instauration de la maxime d'office. La maxime d'office (Offizialmaxime) doit ainsi être distinguée de la maxime inquisitoire (Untersuchungsmaxime). Selon la première, le juge n'est pas lié par les conclusions des parties et doit statuer même en l'absence de conclusions. La seconde intervient au stade de l'instruction; il appartient au juge d'établir les faits d'office (Hohl, Procédure civile, Introduction et théorie générale, Tome 1, Berne 2001, nn. 826 ss, pp. 160 ss). Il résulte ainsi, selon une interprétation littérale de l'art. 429 al. 2 CPP, qui traite des "prétentions" du prévenu, que cette disposition consacre la maxime de disposition pour l'énoncé des conclusions et la maxime inquisitoire pour leur justification. En d'autres termes, s'il appartient à l'autorité pénale d'examiner d'office les prétentions qui lui sont soumises en invitant l'intéressé à produire toutes les preuves utiles, il ne lui appartient en revanche pas de les faire naître, lorsque le prévenu est assisté d'un avocat. Il en résulte que l'appel de Q.________ doit être également rejeté.</w:t>
      </w:r>
    </w:p>
    <w:p>
      <w:r>
        <w:rPr>
          <w:b/>
        </w:rPr>
        <w:t>E. 5</w:t>
      </w:r>
    </w:p>
    <w:p>
      <w:r>
        <w:t>Les deux appelants succombant, les frais de la procédure d'appel selon l'art. 428 CPP doivent être mis à la charge de chacun par moitié (art. 428 al. 1, 1 ère phrase, CPP). Les frais comprennent l'émolument (art. 21 al. 1 et 2 TFJP [tarif des frais judiciaires pénaux du 28 septembre 2010; RSV 312.03.1]) qui se monte à 1'390 fr. (art. 21 al. 1 et 2 TFJP [Tarif des frais judiciaires pénaux du 28 septembre 2010, RSV 312.03.1]), soit 695 fr. chacun. Q.________ ayant succombé, il n'y a pas lieu de lui octroyer des dépens pour la procédure d'appel. L'indemnité allouée au conseil d'office de B.________ pour la procédure d'appel est fixée à 788 fr. 40 et mise à la charge de ce dernier. Celle-ci se compose de 4h à 180 fr. et de 10 fr. à titre de dépens, plus la TVA par 58 fr. 40. B.________ ne sera tenu de rembourser à l’Etat le montant de l'indemnité en faveur de son conseil d’office ci-dessus que lorsque sa situation financière le permettra (art. 138 al. 1 CPP). La Cour d’appel pénale vu l'art. 125 CP appliquant les articles 398 ss, 422 ss et 429 CPP prononce : I. L’appel formé par B.________ est rejeté. II. L'appel formé par Q.________ est rejeté. III. Le jugement rendu le 30 novembre 2011 par le Tribunal de police de l'arrondissement de Lausanne est confirmé selon le dispositif suivant : " I. Acquitte Q.________; II. Donne acte de ses réserves civiles à B.________ alias [...]; III. Laisse les frais de la cause par 3'933 fr. 10 à l'Etat; IV. Arrête l'indemnité due au conseil d'office de [...] alias B.________ à 800 francs." IV. Les frais d'appel, par 1'390 fr. (mille trois cent nonante francs) sont mis à la charge de Q.________ et B.________, chacun par moitié, soit par 695 fr. (six cent nonante-cinq francs) chacun. V. Une indemnité de conseil d'office pour la procédure d'appel d'un montant de 788 fr. 40 (sept cent huitante-huit francs et quarante centimes) est allouée à Me Robert Fox et mise à la charge de B.________. VI. B.________ ne sera tenu de rembourser à l’Etat le montant de l’indemnité en faveur de son conseil d’office prévue au ch. V. ci-dessus que lorsque sa situation financière le permettra . VII. Le présent jugement est exécutoire. Le président :               La greffière : Du 18 avril 2012 Le dispositif du jugement qui précède est communiqué aux appelants et aux autres intéressés. La greffière : Du Le jugement qui précède, dont la rédaction a été approuvée à huis clos, est notifié, par l'envoi d'une copie complète, à : - Me Bertrand Gygax, avocat (pour Q.________), - Me Robert Fox, avocat (pour B.________), - Ministère public central, et communiqué à : ‑ M. le Président du Tribunal de police de l'arrondissement de Lausanne, - Ministère public de l'arrondissement de Lausanne, - Service des automobiles,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