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127 vom 4. August 2010</w:t>
      </w:r>
    </w:p>
    <w:p>
      <w:r>
        <w:t>VD Tribunal cantonal, 2010-08-04, FR</w:t>
      </w:r>
    </w:p>
    <w:p>
      <w:r>
        <w:rPr>
          <w:b/>
        </w:rPr>
        <w:t xml:space="preserve">Quelle: </w:t>
      </w:r>
      <w:r>
        <w:t>https://mcp.opencaselaw.ch/entscheid/vd_findinfo_Jug___2012___127</w:t>
      </w:r>
    </w:p>
    <w:p>
      <w:r>
        <w:t>FR: VD_FINDINFO Jug / 2012 / 127 du 4 août 2010</w:t>
      </w:r>
    </w:p>
    <w:p>
      <w:r>
        <w:t>IT: VD_FINDINFO Jug / 2012 / 127 del 4 agosto 2010</w:t>
      </w:r>
    </w:p>
    <w:p>
      <w:pPr>
        <w:pStyle w:val="Heading2"/>
      </w:pPr>
      <w:r>
        <w:t>Regeste</w:t>
      </w:r>
    </w:p>
    <w:p>
      <w:r>
        <w:t>DIVORCE, PRÉVOYANCE PROFESSIONNELLE, PARTAGE{SENS GÉNÉRAL} | 122 CC, 22 LFLP, 15 al. 2 LPP, 12 OPP2</w:t>
      </w:r>
    </w:p>
    <w:p>
      <w:pPr>
        <w:pStyle w:val="Heading2"/>
      </w:pPr>
      <w:r>
        <w:t>Erwägungen</w:t>
      </w:r>
    </w:p>
    <w:p>
      <w:r>
        <w:rPr>
          <w:b/>
        </w:rPr>
        <w:t>E. 1</w:t>
      </w:r>
    </w:p>
    <w:p>
      <w:r>
        <w:t>Le divorce des époux A.W.________ et B.W.________, qui s’étaient mariés le 9 décembre 2000, a été prononcé par jugement du 4 août 2010 du Tribunal civil de l’arrondissement de l’Est vaudois. Le ch. III du dispositif dudit jugement prévoit que le dossier est transmis à la Cour des assurances sociales du Tribunal cantonal «pour le règlement de la question de la prévoyance professionnelle». Le jugement a été déclaré définitif et exécutoire dès le 25 août 2010. Les époux ont signé une convention sur les effets accessoires du divorce, qui a été ratifiée par le Tribunal civil, à l’exception de son ch. VI (ch. II du jugement de divorce). Ils ont par ailleurs signé des avenants à cette convention, où ils sont convenus d’une nouvelle teneur du ch. VI. Ces avenants, du 22 février 2010, du 25 mars 2010 et du 8 juin 2010, prévoient tous que «chacun des époux a droit à la moitié de l’avoir de l’autre époux».</w:t>
      </w:r>
    </w:p>
    <w:p>
      <w:r>
        <w:rPr>
          <w:b/>
        </w:rPr>
        <w:t>E. 2</w:t>
      </w:r>
    </w:p>
    <w:p>
      <w:r>
        <w:t>La Cour des assurances sociales du Tribunal cantonal a obtenu les renseignements suivants de la part d'institutions de prévoyance professionnelle : a) Avoirs de A.W.________ - Avoirs à la date du mariage auprès de la Caisse de retraite du personnel P.________ ( [...]), y compris les intérêts du 9 décembre 2000 au 25 août 2010: 33'050 fr. - Avoirs à la date du divorce auprès de la Caisse de retraite du personnel P.________: 96'934 fr. - Différence: 63'884 fr. - Avoirs à la date du mariage auprès de la Caisse de pensions de l’Etat de Vaud: 25'254 fr. (transférés le 1 er avril 2001 à la caisse de pensions N.________, polices de libre passage). - Montant acquis au jour du mariage, calculé avec intérêts jusqu’au 25 août 2010: o               Intérêts du 9 décembre 2000 au 31 mars 2001: 310 fr. o Intérêts du 1 er avril 2001 au 25 août 2010, en appliquant le taux minimal de l’art. 12 OPP 2 (ordonnance du 18 avril 1984 sur la prévoyance professionnelle vieillesse, survivants et invalidité; RS 831.441.1; cf. art. 15 al. 2 LPP [loi fédérale du 25 juin 1982 sur la prévoyance professionnelle vieillesse, survivants et invalidité; RS 831.40], art. 8a OLP [ordonnance du 3 octobre 1994 sur le libre passage dans la prévoyance professionnelle vieillesse, survivants et invalidité; RS 831.425]): 6'579 fr. - Prestation de libre passage à la caisse de pensions N.________ à la date du divorce: 38'366 fr. - Différence: 38'366 - 25’254 - 6’579 = 6'533 fr. - Avoirs à partager: 63'884 + 6'533 = 70'417 fr. b) Avoirs de B.W.________ - Avoirs à la date du mariage: - - Prestation de libre passage lors du divorce: 5'073 fr, selon renseignements donnés le 5 octobre 2010 par caisse de pensions L.________. - Avoirs à partager: 5'073 fr.</w:t>
      </w:r>
    </w:p>
    <w:p>
      <w:r>
        <w:rPr>
          <w:b/>
        </w:rPr>
        <w:t>E. 3</w:t>
      </w:r>
    </w:p>
    <w:p>
      <w:r>
        <w:t>. Les ex-époux ont été invités à se déterminer sur ces renseignements conformément à l’art. 110 al. 2 LPA-VD (loi cantonale vaudoise du 28 octobre 2008 sur la procédure administrative; RSV 173.36). Le 30 avril 2012, leur avocat commun a déclaré qu’il n’avait pas d’objection ni observation à formuler. Il y a lieu de relever une erreur de calcul dans les indications communiquées aux ex-époux, à propos du montant des intérêts sur l'avoir de A.W.________ avant le divorce, le montant retenu étant de 9 fr. supérieur au montant réel. Cette erreur a été rectifiée dans les chiffres ci-dessus.</w:t>
      </w:r>
    </w:p>
    <w:p>
      <w:r>
        <w:rPr>
          <w:b/>
        </w:rPr>
        <w:t>E. 4</w:t>
      </w:r>
    </w:p>
    <w:p>
      <w:r>
        <w:t>.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CC (code civil suisse du 10 décembre 1907; RS 210) et 282 CPC (code de procédure civile du 19 décembre 2008; RS 272);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w:t>
      </w:r>
    </w:p>
    <w:p>
      <w:r>
        <w:rPr>
          <w:b/>
        </w:rPr>
        <w:t>E. 5</w:t>
      </w:r>
    </w:p>
    <w:p>
      <w:r>
        <w:t>Les époux sont convenus de la règle du partage par moitié. Le calcul à effectuer en l’espèce est le suivant (déduire du montant le plus élevé des deux avoirs le montant le moins élevé, et partager le résultat pas deux): Avoirs de A.W.________: 70'417 fr. Avoirs de B.W.________: 5'073 fr. Différence divisée par deux: 32'672 fr. Cette dernière somme, à débiter du compte auprès de la Caisse de retraite du personnel P.________ de A.W.________ (époux débiteur) devra être transférée sur le compte de B.W.________ (époux créancier) auprès de caisse de pensions L.________. L’époux débiteur devra le montant de l'intérêt compensatoire dès l'entrée en force du jugement de divorce, le 25 août 2010; le taux d'intérêt est d'au moins 2% jusqu’au 31 décembre 2011, puis d’au moins 1.5% ensuite (art. 8a OLP, art. 12 let. f et g OPP 2 – sous réserve d'un taux d'intérêt différent prévu par le règlement de l'institution de prévoyance, et sous réserve d'une modification du taux par l'auteur de l'ordonnance).</w:t>
      </w:r>
    </w:p>
    <w:p>
      <w:r>
        <w:rPr>
          <w:b/>
        </w:rPr>
        <w:t>E. 6</w:t>
      </w:r>
    </w:p>
    <w:p>
      <w:r>
        <w:t>En cas de retard de versement, un intérêt moratoire sera dû dès le 31 e jour suivant l'entrée en force du présent jugement. Le taux de l'intérêt moratoire est depuis le 1 er janvier 2012 d'au moins 2.5% (art. 7 OLP – sous réserve d'une modification du taux par l'auteur de l'ordonnance; à propos des intérêts, cf. ATF 129 V 251).</w:t>
      </w:r>
    </w:p>
    <w:p>
      <w:r>
        <w:rPr>
          <w:b/>
        </w:rPr>
        <w:t>E. 7</w:t>
      </w:r>
    </w:p>
    <w:p>
      <w:r>
        <w:t>Le présent jugement est rendu sans frais (art. 73 al. 2 LPP par renvoi de l’art. 25a al. 1 LFLP). Il n’y a pas lieu d’allouer des dépens. Par ces motifs, le juge unique prononce : I. Ordonne à la Caisse de retraite du personnel P.________ de débiter le compte de A.W.________ de la somme de 32'672 fr. (trente-deux mille six cent septante-deux francs) avec intérêts compensatoires au taux d’au moins 2% jusqu’au 31 décembre 2011, puis d’au moins 1.5% ensuite, et de verser ce montant sur le compte de B.W.________  auprès de caisse de pensions L.________. II. Statue sans frais ni dépens. Le juge unique :               La greffière : Du Le jugement qui précède est notifié à : ‑ Me Nabil Charaf, avocat (pour A.W.________ et B.W.________), ‑ Caisse de retraite du personnel P.________, - caisse de pensions L.________, et communiqué au: - Tribunal d'arrondissement de l'Est vaudois,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