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120 vom 21. Dezember 2011</w:t>
      </w:r>
    </w:p>
    <w:p>
      <w:r>
        <w:t>VD Tribunal cantonal, 2011-12-21, FR</w:t>
      </w:r>
    </w:p>
    <w:p>
      <w:r>
        <w:rPr>
          <w:b/>
        </w:rPr>
        <w:t xml:space="preserve">Quelle: </w:t>
      </w:r>
      <w:r>
        <w:t>https://mcp.opencaselaw.ch/entscheid/vd_findinfo_Jug___2012___120</w:t>
      </w:r>
    </w:p>
    <w:p>
      <w:r>
        <w:t>FR: VD_FINDINFO Jug / 2012 / 120 du 21 décembre 2011</w:t>
      </w:r>
    </w:p>
    <w:p>
      <w:r>
        <w:t>IT: VD_FINDINFO Jug / 2012 / 120 del 21 dicembre 2011</w:t>
      </w:r>
    </w:p>
    <w:p>
      <w:pPr>
        <w:pStyle w:val="Heading2"/>
      </w:pPr>
      <w:r>
        <w:t>Regeste</w:t>
      </w:r>
    </w:p>
    <w:p>
      <w:r>
        <w:t>HOMICIDE PAR NÉGLIGENCE, DÉPENS, CAUSALITÉ ADÉQUATE, FAUTE DU TIERS, FAUTE PROPRE | 44 al. 1 CO, 117 CP, 59 LCR, 433 al. 1 CPP(CH), 433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par une partie ayant la qualité pour recourir contre le jugement d’un tribunal de première instance qui a clos la procédure (art. 398 al. 1 CPP), l'appel, suffisamment motivé au sens de l’art. 399 al. 3 et 4 CPP,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l’appelante invoque une violation du droit. A titre principal, elle reproche au premier juge d’avoir retenu l’existence d’un lien de causalité adéquate entre la négligence et le décès de la victime, respectivement de ne pas avoir admis une rupture de ce lien de causalité. Dans un second moyen subsidiaire, elle fait grief au premier juge de ne pas avoir suffisamment tenu compte de la faute concomitante de la victime pour arrêter le montant des conclusions civiles allouées à ses proches. L’appelante ne conteste en revanche pas les faits retenus.</w:t>
      </w:r>
    </w:p>
    <w:p>
      <w:r>
        <w:rPr>
          <w:b/>
        </w:rPr>
        <w:t>E. 3</w:t>
      </w:r>
    </w:p>
    <w:p>
      <w:r>
        <w:t>mars 2011 c. 2.1 ; ATF 133 IV 158 c. 6.1 ; ATF 125 IV 195 c. 2b).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 ATF 131 IV 145 c. 5.1). La causalité adéquate sera admise même si le comportement de l'auteur n'est pas la cause directe ou unique du résultat. Peu importe que le résultat soit dû à d'autres causes, notamment à l'état de la victime, à son comportement ou à celui de tiers (ATF 131 IV 145 c. 5.2).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(TF 6B_1023/2010 du 3 mars 2011 c. 2.1 ; ATF 131 IV 145 c. 5.1).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à interrompre le rapport de causalité adéquate. Il faut encore que cet acte ait une importance telle qu'il s'impose comme la cause la plus probable et la plus immédiate du résultat dommageable, reléguant à l'arrière-plan tous les autres facteurs qui ont contribué à l'amener, et notamment le comportement de l'auteur (TF 6B_1023/2010 du 3 mars 2011 c. 2.1 ; ATF 135 IV 56 c. 2.1 ; ATF 134 IV 255 c. 4.4.2).</w:t>
      </w:r>
    </w:p>
    <w:p>
      <w:r>
        <w:rPr>
          <w:b/>
        </w:rPr>
        <w:t>E. 3.1</w:t>
      </w:r>
    </w:p>
    <w:p>
      <w:r>
        <w:t>Aux termes de l’art. 117 CP, celui qui, par négligence, aura causé la mort d’une personne sera puni d’une peine privative de liberté de trois ans au plus ou d’une peine pécuniaire. Il en résulte que la réalisation de cette infraction suppose la réunion de trois conditions: le décès d'une personne, une négligence et un lien de causalité entre la négligence et la mort (TF 6B_868/2008 du 20 janvier 2009 c. 2.1 ; ATF 122 IV 145 c. 3).</w:t>
      </w:r>
    </w:p>
    <w:p>
      <w:r>
        <w:rPr>
          <w:b/>
        </w:rPr>
        <w:t>E. 3.1.1</w:t>
      </w:r>
    </w:p>
    <w:p>
      <w:r>
        <w:t>Selon l'art. 12 al. 3 CP, il y a négligence si, par une imprévoyance coupable, l'auteur agit sans se rendre compte ou sans tenir compte des conséquences de son acte. L'imprévoyance est coupable quand l'auteur de l'acte n'a pas usé des précautions commandées par les circonstances et par sa situation personnelle.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quels étaient les devoirs imposés par la prudence, on peut se référer à des normes édictées par l'ordre juridique pour assurer la sécurité et éviter des accidents. S'agissant en l'espèce d'un accident de la route, il convient de se référer aux règles de la circulation routière (TF 6B_868/2008 du 20 janvier 2009 c. 2.1 ; ATF 122 IV 133 c. 2a).</w:t>
      </w:r>
    </w:p>
    <w:p>
      <w:r>
        <w:rPr>
          <w:b/>
        </w:rPr>
        <w:t>E. 3.1.2</w:t>
      </w:r>
    </w:p>
    <w:p>
      <w:r>
        <w:t>Un comportement est la cause naturelle d'un résultat s'il en constitue l'une des conditions sine qua non, c'est-à-dire si, sans lui, le résultat ne se serait pas produit (TF 6B_1023/2010 du</w:t>
      </w:r>
    </w:p>
    <w:p>
      <w:r>
        <w:rPr>
          <w:b/>
        </w:rPr>
        <w:t>E. 3.2.1</w:t>
      </w:r>
    </w:p>
    <w:p>
      <w:r>
        <w:t>En l’espèce, il y a bien eu le décès d'une personne. En circulant à 95 km/h au moins sur une route où la vitesse était limitée à 80 km/h, qui plus est sans avoir réduit son allure de manière à pouvoir s’arrêter sur sa distance de visibilité lorsqu’elle a mis les feux de croisement, l’appelante a violé les règles de la circulation énoncées à l’art. 32 LCR, telles que précisées aux art. 4 al. 1 et 4a al. 1 let. b OCR. En outre, elle a manqué d’attention en ne s’apercevant pas que la route tournait à droite et violé également la règle de circulation prévue à l’art. 31 al. 1 LCR, telle que précisée à l’art. 3 al. 1 OCR. Ces violations des règles de la circulation sont fautives et constituent une négligence au sens des art. 12 al. 3 et 117 CP. Enfin, il existe un lien de causalité naturelle entre la négligence de l’appelante et la mort de la victime, puisqu’il est établi que la victime est décédée des suites des blessures que lui a causées l’accident (P. 22). L’appelante ne conteste pas, à juste titre, le jugement de première instance en tant qu’il a retenu que les éléments ci-dessus étaient réalisés dans le cas d’espèce.</w:t>
      </w:r>
    </w:p>
    <w:p>
      <w:r>
        <w:rPr>
          <w:b/>
        </w:rPr>
        <w:t>E. 3.2.2</w:t>
      </w:r>
    </w:p>
    <w:p>
      <w:r>
        <w:t>Dans le cas présent, seule est discutée l’éventuelle interruption de la causalité adéquate en raison du comportement de la victime qui n’avait pas attaché sa ceinture de sécurité. En premier lieu, c’est à tort que l’appelante tente de rediscuter la vitesse de son véhicule au moment des faits. D’une part, le premier juge expose de façon convaincante les raisons pour lesquelles il a retenu une vitesse pas inférieure à 95 km/h: il a tenu compte des témoignages de deux passagères, déclarations qu’il a relativisées, ainsi que de l’expertise de D.________ (jgt, c. 2b). Sur la base de ces divers éléments, la conviction du premier juge est correctement fondée et doit être confirmée. A cela s’ajoute que l’appelante déclare ne pas contester les faits. S’agissant du raisonnement tenu pour soutenir l’interruption du lien de causalité, on ne saurait suivre l’appelante. En effet, il importe peu que la victime ne se soit pas conformée aux art. 3a OCR et 57 al. 5 LCR, selon lesquels tout passager d’un véhicule automobile doit porter la ceinture de sécurité. En effet, il n'y a pas de compensation des fautes en droit pénal (TF 6B_1023/2010 du 3 mars 2011 c. 3.2 ; TF 6B_315/2009 du 20 juillet 2009 c. 1 ; ATF 122 IV 17 c. 2c/bb). Le premier juge a certes retenu que l’omission de porter la ceinture de sécurité a été l’une des conditions sine qua non, et partant l’une des causes, de la mort de la victime. Il a toutefois considéré que cette cause concomitante n’interrompait pas le lien de causalité avec la négligence de la prévenue, laquelle a consisté à circuler à une vitesse inadaptée et à ne pas vouer toute son attention à la route, ne remarquant notamment pas, pour des raisons de choix de phares, que celle-ci tournait. Le premier juge a d’abord estimé qu’il n’était pas extraordinaire et en tout cas pas imprévisible qu’un passager arrière omette de boucler sa ceinture; en outre, même si la faute de la victime avait été imprévisible, il ne resterait pas moins que l’accident et ses conséquences s’expliquent d’abord et surtout par les fautes de circulation commises par la prévenue. Ces motifs sont pertinents et peuvent être confirmés. Selon un arrêt récent du Tribunal fédéral, le fait que le lésé n'avait pas bouclé sa ceinture de sécurité n'interrompt pas le lien de causalité adéquate (TF 6B_60/2008 du 23 avril 2008). En l'espèce, en ayant dépassé la vitesse autorisée de plus de 15 km/h et en n’ayant pas prêté une attention suffisante à la route, l’appelante a adopté un comportement de nature, selon le cours ordinaire des choses et selon l'expérience générale de la vie, à entraîner un accident aux conséquences mortelles ou au moins à en favoriser l'avènement. Bien que fautif, le comportement de la victime qui était passagère arrière et qui n’avait pas attaché sa ceinture de sécurité, n'a cependant rien d'extraordinaire, ni d'exceptionnel, de sorte qu'il ne saurait reléguer à l'arrière-plan le facteur essentiel qui a contribué à l'avènement du résultat, soit la conduite de l’appelante. Aussi l'enchaînement des événements n'est-il pas de nature à interrompre le lien de causalité adéquate entre les négligences commises et le décès de la victime.</w:t>
      </w:r>
    </w:p>
    <w:p>
      <w:r>
        <w:rPr>
          <w:b/>
        </w:rPr>
        <w:t>E. 3.3</w:t>
      </w:r>
    </w:p>
    <w:p>
      <w:r>
        <w:t>Au de ce qui précède, tous les éléments objectifs et subjectifs de l’infraction d’homicide par négligence sont réalisés dans le cas particulier, si bien que le grief principal invoqué par l’appelante, mal fondé, doit être rejeté.</w:t>
      </w:r>
    </w:p>
    <w:p>
      <w:r>
        <w:rPr>
          <w:b/>
        </w:rPr>
        <w:t>E. 4</w:t>
      </w:r>
    </w:p>
    <w:p>
      <w:r>
        <w:t>A titre subsidiaire, l'appelante reproche au premier juge de ne pas avoir suffisamment tenu compte de la faute concomitante de la victime pour arrêter le montant des conclusions civiles allouées à ses proches. Elle admet que les principes en la matière ont été correctement énoncés dans le jugement (jgt, c. 6), mais estime arbitraire d'avoir limiter à 10% la réduction de l'indemnité pour tort moral à la suite de la faute concomitante de la victime. Elle soutient, qu'en l'occurrence, la victime n'a pas pris les mesures qu'une personne raisonnable placée dans les mêmes circonstances aurait pu et dû prendre dans son propre intérêt. En omettant d'attacher sa ceinture de sécurité, la victime a réalisé une faute concomitante et ainsi, selon elle, constitué une des conditions sine qua non de son décès. L'appelante conclut qu'il faut réduire à hauteur de deux tiers les montants usuellement alloués en cas de décès d'un proche et que le premier juge aurait dû dès lors allouer à la mère et au père de la victime une indemnité de 10'000 fr., respectivement de 3'000 fr. à la sœur de la victime.</w:t>
      </w:r>
    </w:p>
    <w:p>
      <w:r>
        <w:rPr>
          <w:b/>
        </w:rPr>
        <w:t>E. 4.1</w:t>
      </w:r>
    </w:p>
    <w:p>
      <w:r>
        <w:t>En vertu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Aux termes de l'art. 59 al. 2 LCR, si néanmoins le détenteur ne peut se libérer en vertu de l’al. 1 mais prouve qu’une faute du lésé a contribué à l’accident, le juge fixe l’indemnité en tenant compte de toutes les circonstances. S'agissant de la faute concomitante, l'art. 59 al. 2 LCR limite la portée de l'art. 44 CO qui, pris à la lettre, permet au juge d'exclure toute indemnité. En application de la LCR, l'absence totale d'indemnité n'est envisageable que si la faute du lésé est grave et exclusive (cf. art. 59 al. 1 LCR); dans tous les autre cas, le juge est tenu d'accorder une indemnité au lésé (Werro, La responsabilité civile, Berne 2005, n. 1156).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4A_66/2010 du 27 mai 2010 c. 2.2). La possibilité de réduire une indemnité pour tenir compte d'une faute concomitante, résultant de l'art. 44 al. 1 CO, existe également dans le cas d'une indemnité pour tort moral (TF 4A_66/2010 du 27 mai 2010 c. 2.2; ATF 131 III 12 c. 8). La réduction de l'indemnité - dont la quotité relève de l'appréciation du juge (ATF 131 III 12 c. 4.2; ATF 130 III 182 c. 5.5.2) - suppose cependant que le comportement reproché au lésé soit en rapport de causalité naturelle et adéquate avec la survenance du préjudice (ATF 130 III 591 c. 5.3; ATF 126 III 192 c. 2d). En matière d'assurance-accident, mais également en responsabilité civile, il est admis que les prestations soient réduites de 10% lorsque la personne accidentée a omis de porter la ceinture de sécurité (TF 6B_60/2008 du 23 avril 2008 c. 2.1; ATF 118 V 305, JT 1993 I 756; ATF 117 II 609 c. 5a et 5e, JT 1992 I 727).</w:t>
      </w:r>
    </w:p>
    <w:p>
      <w:r>
        <w:rPr>
          <w:b/>
        </w:rPr>
        <w:t>E. 4.2</w:t>
      </w:r>
    </w:p>
    <w:p>
      <w:r>
        <w:t>En l'espèce, il n'est pas contesté que la victime a commis une faute concomitante - en omettant d'attacher sa ceinture de sécurité - donnant lieu à une réduction de l'indemnité pour tort moral due par l'appelante. Seule est encore litigieux la quotité de cette réduction, qui a été fixée par le premier juge à 10%. En vertu de la jurisprudence précitée et du fait que la quotité relève de l'appréciation du juge, force est de constater que la réduction de 10% de l'indemnité pour tort moral opérée par le premier juge est tout à fait adéquate. La solution retenue pas le tribunal de première instance n'est pas arbitraire, ni ne procède d'un excès de son pouvoir d'appréciation. Elle sera donc confirmée. Le moyen subsidiaire de l'appelante, également mal fondé, doit être rejeté.</w:t>
      </w:r>
    </w:p>
    <w:p>
      <w:r>
        <w:rPr>
          <w:b/>
        </w:rPr>
        <w:t>E. 5</w:t>
      </w:r>
    </w:p>
    <w:p>
      <w:r>
        <w:t>Les intimés, par l'intermédiaire de leur conseil, ont demandé qu'il leur soit octroyé une équitable indemnité pour les dépens. Interpellés à l'audience d'appel par le président, ils n'ont toutefois pas chiffré le montant de leurs prétentions, déclarant s'en remettre à justice.</w:t>
      </w:r>
    </w:p>
    <w:p>
      <w:r>
        <w:rPr>
          <w:b/>
        </w:rPr>
        <w:t>E. 5.1</w:t>
      </w:r>
    </w:p>
    <w:p>
      <w:r>
        <w:t>En vertu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L'alinéa 2 de cette disposition prévoit que la partie plaignante adresse ses prétentions à l’autorité pénale; elle doit les chiffrer et les justifier. Si elle ne s’acquitte pas de cette obligation, l’autorité pénale n’entre pas en matière sur la demande. L'indemnité pour ses dépenses obligatoires occasionnées par la procédure, c'est-à-dire les frais de défense dont les frais d'avocat, est attribuée sur demande de la partie plaignante. Cette dernière a ainsi l'obligation de formuler et d'adresser ses prétentions à l'autorité compétente (en l'occurrence à la Cour d'appel pénale) avant la fin de la procédure, avec le devoir de les chiffrer et de les documenter, sous peine de péremption (Mizel/Rétornaz, in: Kuhn/Jeanneret (éd.), Commentaire romand, Code de procédure pénale suisse, Bâle 2011, n. 13 ad art. 433 CPP). Selon la doctrine, la péremption ne pourra intervenir que dans les cas claires, notamment lorsque le lésé aura eu la possibilité de faire valoir ses prétentions (ibidem).</w:t>
      </w:r>
    </w:p>
    <w:p>
      <w:r>
        <w:rPr>
          <w:b/>
        </w:rPr>
        <w:t>E. 5.2</w:t>
      </w:r>
    </w:p>
    <w:p>
      <w:r>
        <w:t>En l'espèce, les intimés n'ont pas chiffré leurs prétentions, ni ne les ont documentés, malgré le fait que le président a interpellé leur conseil à l'audience d'appel à ce sujet. Partant, il ne sera pas alloué de dépens pénaux aux intimés conformément à l'art. 433 al. 2 CPP, ce d'autant plus qu'ils étaient assistés d'un avocat qui est censé connaître le contenu de cette disposition.</w:t>
      </w:r>
    </w:p>
    <w:p>
      <w:r>
        <w:rPr>
          <w:b/>
        </w:rPr>
        <w:t>E. 6</w:t>
      </w:r>
    </w:p>
    <w:p>
      <w:r>
        <w:t>En définitive, l’appel doit être rejeté et le jugement attaqué confirmé dans son entier. Vu l'issue de la cause, les frais de la procédure d'appel doivent être mis à la charge de B.________ (art. 428 al. 1 CPP). Outre l'émolument, qui se monte à 2'350 fr. (art. 21 al. 1 et 2 TFJP [Tarif des frais judiciaires pénaux du 28 septembre 2010, RSV 312.03.1]), ces frais comprennent l'indemnité allouée au défenseur d’office de l’appelante (cf. art. 135 al. 2 et 422 al. 2 let. a CPP, art. 2 al. 2 ch. 1 TFJP). Ce dernier a indiqué qu'il avait consacré 12 heures au dossier, audience comprise, de sorte qu'il convient de lui allouer une indemnité de 2’355 fr. 50, TVA et débours inclus. L'appelante ne sera tenue de rembourser à l'Etat le montant de l'indemnité en faveur de son défenseur d'office que lorsque sa situation financière le permettra (art. 135 al. 4 let. a CPP). La Cour d’appel pénale, appliquant les articles 90 ch. 2 LCR; 34, 42, 47, 49, 117 CP; 41 ss CO; 398 ss CPP, prononce : I. L'appel est rejeté. II. Le jugement rendu le 21 décembre 2011 par le Tribunal de police de l'arrondissement de l'Est vaudois est confirmé selon le dispositif suivant : " I. Condamne B.________, pour homicide par négligence et violation grave des règles de la circulation, à trente jours-amende de 35 fr. (trente-cinq francs), avec sursis pendant deux ans. II. Condamne B.________ à payer : - à A.F.________ les sommes de 5'360 fr.30 (cinq mille trois cent soixante francs trente), avec intérêt à 5% dès le 30 avril 2010, à titre de dommages-intérêts, et de 27'000 fr. (vingt-sept mille francs), avec intérêt à 5% l'an dès le 11 mars 2010, à titre d'indemnité pour tort moral; - à B.F.________ la somme de 27'000 fr. (vingt-sept mille francs), avec intérêt à 5% l'an dès le 11 mars 2010, à titre d'indemnité pour tort moral; - à A.F.________ et B.F.________, solidairement entre eux et en leur qualité de détenteurs de l'autorité parentale sur C.F.________, la somme de 9'000 fr, (neuf mille francs), avec intérêt à 5% l'an dès le 11 mars 2010, à titre d'indemnité pour tort moral en faveur d'C.F.________; - à A.F.________ et B.F.________, solidairement entre eux, la somme de 5'000 fr. (cinq mille francs) à titre de dépens; et Rejette toutes autres ou plus amples conclusions civiles. III. Lève le séquestre et ordonne la restitution du matériel probatoire séquestré sous fiche n°1905 à B.________. IV. Alloue à Me Matthieu Genillod, défenseur d'office de B.________, une indemnité de 5'510 fr. (cinq mille cinq cent dix francs), débours et TVA inclus. V. Met les frais de la cause, par 24'680 fr. 40 (vingt-quatre mille six cent huitante francs quarante) à la charge de B.________ et Dit que, sur cette somme, le montant de 19'170 fr. 40 (dix neuf mille cent septante-neuf francs quarante) pourra lui être réclamé immédiatement, tandis que les 5'510 fr. correspondant à l'indemnité de son défenseur d'office ne pourront être recouvrés que lorsque la prévenue sera parvenue à meilleure fortune." III. Une indemnité de défenseur d'office pour la procédure d'appel d'un montant de 2’355 fr. 50 (deux mille trois cent cinquante-cinq francs et cinquante centimes), y compris débours et TVA, est allouée à Me Matthieu Genillod. IV. Les frais d'appel, par 4'705 fr. 50 (quatre mille sept cent cinq francs et cinquante centimes), y compris l’indemnité allouée à son défenseur d’office, sont mis à la charge de B.________. V. B.________ ne sera tenue de rembourser à l’Etat le montant de l’indemnité en faveur de son défenseur d’office prévue au chiffre III ci-dessus que lorsque sa situation financière le permettra. VI. Il n’est pas alloué de dépens pénaux de deuxième instance à A.F.________, B.F.________ et C.F.________. VII. Le présent jugement est exécutoire. Le président :              La greffière : Du 25 avril 2012 Le dispositif du jugement qui précède est communiqué à l'appelant et aux autres intéressés. La greffière : Du Le jugement qui précède, dont la rédaction a été approuvée à huis clos, est notifié, par l'envoi d'une copie complète, à : - Me Matthieu Genillod, avocat (pour B.________), - Me Stéphane Cappi, avocat (pour A.F.________, B.F.________ et C.F.________), - Ministère public central, et communiqué à : - Ministère public de l'arrondissement de l'Est vaudois, - M. le Président du Tribunal de police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