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107 vom 15. Dezember 2011</w:t>
      </w:r>
    </w:p>
    <w:p>
      <w:r>
        <w:t>VD Tribunal cantonal, 2011-12-15, FR</w:t>
      </w:r>
    </w:p>
    <w:p>
      <w:r>
        <w:rPr>
          <w:b/>
        </w:rPr>
        <w:t xml:space="preserve">Quelle: </w:t>
      </w:r>
      <w:r>
        <w:t>https://mcp.opencaselaw.ch/entscheid/vd_findinfo_Jug___2012___107</w:t>
      </w:r>
    </w:p>
    <w:p>
      <w:r>
        <w:t>FR: VD_FINDINFO Jug / 2012 / 107 du 15 décembre 2011</w:t>
      </w:r>
    </w:p>
    <w:p>
      <w:r>
        <w:t>IT: VD_FINDINFO Jug / 2012 / 107 del 15 dicembre 2011</w:t>
      </w:r>
    </w:p>
    <w:p>
      <w:pPr>
        <w:pStyle w:val="Heading2"/>
      </w:pPr>
      <w:r>
        <w:t>Regeste</w:t>
      </w:r>
    </w:p>
    <w:p>
      <w:r>
        <w:t>DIFFAMATION, SURSIS À L'EXÉCUTION DE LA PEINE, AMENDE | 106 CP, 173 ch. 1 CP, 34 CP, 42 al. 1 CP, 42 ch. 4 CP, 44 al. 1 CP, 47 CP, 50 CP</w:t>
      </w:r>
    </w:p>
    <w:p>
      <w:pPr>
        <w:pStyle w:val="Heading2"/>
      </w:pPr>
      <w:r>
        <w:t>Erwägungen</w:t>
      </w:r>
    </w:p>
    <w:p>
      <w:r>
        <w:rPr>
          <w:b/>
        </w:rPr>
        <w:t>E. 1.1</w:t>
      </w:r>
    </w:p>
    <w:p>
      <w:r>
        <w:t>Interjeté dans les formes et délais légaux (cf. art. 399 CPP) contre le jugement d’un tribunal de première instance ayant clos la procédure (art. 398 al. 1 CPP), l’appel est recevable .</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Invoquant une violation de l’art. 173 CP, l’appelant soutient avoir apporté les preuves libératoires de la vérité et de la bonne foi. Il nie avoir agi pour se venger de la plaignante et fait derechef valoir qu'X.________ a quitté le domicile familial pour pouvoir bénéficier de prestations sociales plutôt que d'aller travailler. Il relève que la plaignante lui a encore proposé de venir vivre chez elle sans rien déclarer aux services sociaux, de manière à pouvoir conserver l'entier du revenu d'insertion (RI). Il soutient que sa démarche auprès des services sociaux, suite aux confidences faites par X.________, avait pour seul but de dénoncer, par civisme, des abus.</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(ATF 131 IV 160 c. 3.3 p. 163).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(ATF 132 IV 112 c. 2.1; 117 IV 27 c. 2c p. 28/29).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 ainsi en va-t-il des critiques qui visent comme tel l’homme de métier, l’artiste ou le politicien (ATF 128 IV 53 c. la p. 58; 119 IV 44 c. 2a p. 47). Lorsqu’on évoque la commission d’un crime ou d’un délit intentionnel, la jurisprudence admet qu’il y a atteinte à l’honneur (ATF 132 IV 112; 118 IV 248 c. 2b). lI n’est toutefois pas nécessaire que le comportement soit réprimé par la loi pénale, il suffit qu’il soit moralement réprouvé (ATF 117 IV 27 c. 2d p. 30).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la p. 58 et les arrêts cités). Pour que l’auteur se rende coupable de diffamation, l’atteinte à l’honneur doit être communiquée à un tiers et porter sur un fait (TF 6B_371/2011 du 15 août 2011 c. 5.1 in fine ).</w:t>
      </w:r>
    </w:p>
    <w:p>
      <w:r>
        <w:rPr>
          <w:b/>
        </w:rPr>
        <w:t>E. 2.1.1</w:t>
      </w:r>
    </w:p>
    <w:p>
      <w:r>
        <w:t>L’art. 173 ch. 2 CP dispose que l’inculpé n’encourra aucune peine s’il prouve que les allégations qu’il a articulées ou propagées sont conformes à la vérité ou qu’il avait des raisons sérieuses de les tenir de bonne foi pour vraies. Le juge examine d’office si ces conditions sont emplies (Corboz, Les infractions en droit suisse, vol. I, 3ème éd. 2010, n. 54 ad art. 173, p. 592). C'est toutefois à l’auteur du comportement attentatoire à l’honneur de décider s’il veut apporter des preuves libératoires. lI s’agit, en effet, d’une possibilité offerte à l’accusé (Corboz, op. cit., n. 51, ad art. 173, même page). 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appartient à l’auteur d’établir les éléments dont il disposait à l’époque, ce qui relève du fait. Sur celle base, le juge doit déterminer si ces éléments étaient suffisants pour croire à la véracité des propos, ce qui relève du droit (ATF 124 IV 149 c. 3b p. 151 s. et les références citées). La preuve de la vérité est apportée lorsque l’auteur de la diffamation établit que tous les éléments essentiels des allégations qu’il a articulées ou propagées sont vraies (ATF 102 IV 176 c. lb et les références citées). Il peut apporter même des éléments de preuve qui lui étaient inconnus au moment où il s’est exprimé, car la seule question pertinente est celle de la véracité du propos (ATF 124 IV 149 c. 3a p. 150; 122 IV 311 c. 2c p. 316 et 2e p. 318). La question de savoir ce qui est vrai relève du fait (TF 6S.451/2002 du 10 janvier 2003 c. 2.1).</w:t>
      </w:r>
    </w:p>
    <w:p>
      <w:r>
        <w:rPr>
          <w:b/>
        </w:rPr>
        <w:t>E. 2.1.2</w:t>
      </w:r>
    </w:p>
    <w:p>
      <w:r>
        <w:t>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L'admission à la preuve libératoire constitue la règle, de sorte que les conditions d'un refus sont interprétées plutôt restrictivement. La preuve libératoire ne peut être refusée que si l'auteur s'est exprimé sans motif suffisant (intérêt public ou privé) et s'il a agi principalement dans le dessein de dire du mal d'autrui. Les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(TF 6S.752/2000 du 6 décembre 2000 c. 2d,  ainsi que la doctrine et le jurisprudence citées).</w:t>
      </w:r>
    </w:p>
    <w:p>
      <w:r>
        <w:rPr>
          <w:b/>
        </w:rPr>
        <w:t>E. 3.1</w:t>
      </w:r>
    </w:p>
    <w:p>
      <w:r>
        <w:t>En l’espèce, le contenu des courriers adressés par l’appelant aux services sociaux est attentatoire à l’honneur. En effet, dans ses diverses missives, Z.________ a notamment mentionné qu’X.________ travaillait au noir (chez [...]) et qu’elle s’était séparée de lui pour pouvoir bénéficier d’un appartement payé par les services sociaux. En outre, l’atteinte à l’honneur a porté sur des faits précis - le fait de profiter indûment des services étatiques - et a été portée à la connaissance de tiers, à savoir les services sociaux.</w:t>
      </w:r>
    </w:p>
    <w:p>
      <w:r>
        <w:rPr>
          <w:b/>
        </w:rPr>
        <w:t>E. 3.2</w:t>
      </w:r>
    </w:p>
    <w:p>
      <w:r>
        <w:t>L’appelant a reconnu, dans le cadre de ses dépositions, qu’en agissant de la sorte, il avait voulu "[…] rendre la monnaie de sa pièce à X.________  […]". Devant l'autorité de céans, il soutient que, d’origine italienne, cette expression ne comporte à son sens aucune connotation vengeresse. Il ne saurait être suivi sur ce point. En effet, d’une part, l’appelant - qui a effectué sa scolarité [...] - est en Suisse depuis de nombreuses années et comprend, de ce fait, bien le français. D’autre part, ses déclarations en première instance sont claires; elles sont par ailleurs corroborées par les relevés de ses SMS, qui attestent d’un fort conflit conjugal entre les parties et de l’esprit vengeur de l’appelant (P. 23 p. 11ss) : ainsi l’appelant y emploie aussi l’expression "[…] à la guerre comme à la guerre […]" ou encore lui explique "[…] qu’il est en train de faire 1000 procédures à son encontre dans lesquelles elle devra s’expliquer, le social l’attendant de pied ferme […]". Dans ces conditions, on doit admettre, comme le premier juge (jugement p. 13), que l’appelant a uniquement agi pour dire du mal d’X.________. L’ensemble des allégations qui sont reprochées à l’appelant s'inscrit dans le cadre d’un profond litige conjugal. En effet, il résulte du relevé des SMS précité de l’appelant que celui-ci n’a pas supporté la séparation et ses conséquences - assumer seul le loyer de l'appartement du couple trop cher pour lui, devoir changer d'appartement (annexe 1 à la P. 29/4); ne plus voir régulièrement son enfant, devoir payer une pension alimentaire -, et qu’il en voulait à la plaignante. L’aspect privé de ce litige prédomine. Appréciés globalement, les faits déshonorants allégués par l’appelant visaient à atteindre la plaignante, afin que celle-ci ne puisse plus obtenir l’aide des services sociaux et soit éventuellement contrainte de revenir au domicile familial. Ses dénonciations ont précisément conduit le Centre social régional (CSR) d’Orbe à diligenter une enquête administrative contre X.________ et à reporter le versement des indemnités qui lui étaient destinées. L’appelant n’a donc pas agi pour des motifs d’intérêt public, ni pour un autre motif suffisant. On ne saurait, par conséquent, en conclure qu’il avait une raison objectivement suffisante de s’exprimer comme il l’a fait. Ainsi, l'intéressé a agi dans le dessein de dire du mal et sans motif suffisant. Le premier juge n’a donc pas violé le droit fédéral (art. 173 al. 3 CP) en ne l’autorisant pas à apporter les preuves libératoires de l’art. 173 ch. 2 CP.</w:t>
      </w:r>
    </w:p>
    <w:p>
      <w:r>
        <w:rPr>
          <w:b/>
        </w:rPr>
        <w:t>E. 3.3</w:t>
      </w:r>
    </w:p>
    <w:p>
      <w:r>
        <w:t>Quand bien même l’appelant aurait été autorisé à apporter les preuves libératoires, il aurait échoué dans l’administration de celles-ci.</w:t>
      </w:r>
    </w:p>
    <w:p>
      <w:r>
        <w:rPr>
          <w:b/>
        </w:rPr>
        <w:t>E. 3.3.1</w:t>
      </w:r>
    </w:p>
    <w:p>
      <w:r>
        <w:t>L’appelant n'a pas apporté la preuve de la vérité. Au cours de la procédure, il a fait assigner des témoins aux débats afin d'établir qu’effectivement son ex-compagne percevait des prestations alors même qu’elle travaillait au noir et qu’elle n’aurait cherché à se séparer de lui que dans l’unique but d’obtenir un appartement pris en charge par les services sociaux. Or les témoins entendus en première instance n'ont en aucune manière démontré que l’intimée travaillait au noir ou profitait des services sociaux. Au contraire, [...] a déclaré avoir accueilli la plaignante à plusieurs reprises durant sa grossesse alors qu’elle n’allait pas bien et subissait de nombreuses pressions de la part son conjoint. Il a ajouté qu’elle n’avait jamais travaillé chez lui contre rémunération (jugement, p. 5). De même, [...] assistant social rattaché au CSR d’Orbe, a déclaré que les revenus de la plaignante avaient été déclarés, que le travail au noir n’avait pu être prouvé, et que les conclusions de l'enquête étaient une "[…]fraude non avérée […]" (jugement, p 6).</w:t>
      </w:r>
    </w:p>
    <w:p>
      <w:r>
        <w:rPr>
          <w:b/>
        </w:rPr>
        <w:t>E. 3.3.2</w:t>
      </w:r>
    </w:p>
    <w:p>
      <w:r>
        <w:t>L’appelant a également échoué dans l’administration de la preuve de sa bonne foi. En effet, les éléments dont il s’est prévalu pour adresser ses différents courriers au CSR d’Orbe ne reposaient sur aucun fondement. Le prévenu n’a pas été à même d’établir les éléments dont il aurait éventuellement disposé à l’époque de sa dénonciation. Il n'a par ailleurs procédé à aucune vérification. Il lui aurait pourtant été facile de vérifier la véracité de ses assertions en interrogeant, par exemple, [...] au sujet des conditions dans lesquellesX.________ aurait travaillé chez lui. Il aurait alors su que celle-ci n'était pas rémunérée. Dans ces conditions, les allégations de l'intéressé apparaissent comme étant le seul fruit de son imagination et de sa rancoeur envers la plaignante, ce que confirme le contenu de ses SMS (P. 23). On relèvera encore que le prévenu n'est pas crédible lorsqu'il affirme que ses dénonciations se fondent sur les dires de l’intimée, fait qu'il n'est d'ailleurs pas en mesure d'établir. Les déclarations X.________ pouvaient, en revanche, être prises en considération, car elle a expliqué, de façon constante et convaincante, qu'elle avait quitté l'appartement du couple en raison des fortes pressions psychologiques subies. Ses propos concordent d'ailleurs avec les déclarations des témoins (jugement, pp. 5 et 9). Pour ces motifs, c'est à bon droit que l'autorité de première instance a reconnu Z.________ coupable de diffamation.</w:t>
      </w:r>
    </w:p>
    <w:p>
      <w:r>
        <w:rPr>
          <w:b/>
        </w:rPr>
        <w:t>E. 4.1</w:t>
      </w:r>
    </w:p>
    <w:p>
      <w:r>
        <w:t>Pour fixer la peine, on remarquera queZ.________ s'est enferré dans un système de défense parfaitement maladroit et n'a manifestement pas voulu saisir la gravité de ses actes. Il n'a pas hésité à prétendre n'avoir fait que son devoir civique et à réitérer ses accusations contre son ex-compagne. Sa culpabilité n'est donc pas négligeable. Par ailleurs, il peine à prendre conscience du sérieux de la situation, ce qui justifie le prononcé d'une amende. Au regard de l'ensemble des éléments à prendre en considération -étant encore relevé que l'absence d'antécédent constitue un élément neutre et non pas un élément à décharge- la peine de 30 jours-amende combinée à une amende de 750 fr. ne prête pas le flanc à la critique et doit être confirmée. Quant à la quotité du jour-amende, elle ne saurait être revue en défaveur de l'appelant (art. 404 al. 1 et 2 CPP). Fixée à 50 fr. le jour, elle est toutefois faible si l'on tient compte du salaire net de Z.________ au moment du jugement (5'000 fr. nets par mois et 4'870 fr. depuis le début de son incapacité de travail), et de ses charges déterminantes (TF 6B_366/2007 du 17 mars 2008, c. 6.4, à savoir 2'225 fr. [1'200 fr. de minimum vital + 650 fr. au BRAPA + 375 fr. d'assurance-maladie]), ce qui lui laisse un disponible mensuel de 2'645 fr., soit 88 fr. par jour.</w:t>
      </w:r>
    </w:p>
    <w:p>
      <w:r>
        <w:rPr>
          <w:b/>
        </w:rPr>
        <w:t>E. 4.2</w:t>
      </w:r>
    </w:p>
    <w:p>
      <w:r>
        <w:t>Au regard de l'absence d'antécédent, la peine infligée peut être suspendue , faute de pronostic défavorable. Compte tenu du comportement de l'intéressé tout au long de la procédure, une amende doit être infligée à l'appelant pour le dissuader clairement et définitivement de commettre de nouvelles infractions et d'ancrer en lui la conscience de la faute commise.</w:t>
      </w:r>
    </w:p>
    <w:p>
      <w:r>
        <w:rPr>
          <w:b/>
        </w:rPr>
        <w:t>E. 4.3</w:t>
      </w:r>
    </w:p>
    <w:p>
      <w:r>
        <w:t>Pour le surplus, un montant doit être alloué à X.________ pour son tort moral (art. 49 al.1 CO), dès lors qu'elle a souffert psychiquement des agissements du prévenu qui n'a pas cessé de la harceler via les service sociaux. Le montant de cette indemnité est modique (1'000 fr. avec intérêts à 5 % dès le 1 er avril 2010). Il correspond toutefois à ce qu'avait requis X.________ le 28 février 2011. Sa fixation ne procède pas d'un abus ou d'un excès du très large pouvoir d'appréciation dont dispose le juge en la matière (ATF 129 IV 22 c. 7.2 p. 36/37).</w:t>
      </w:r>
    </w:p>
    <w:p>
      <w:r>
        <w:rPr>
          <w:b/>
        </w:rPr>
        <w:t>E. 5</w:t>
      </w:r>
    </w:p>
    <w:p>
      <w:r>
        <w:t>Vu ce qui précède, le jugement entrepris est en tous points conforme au droit. Il doit être confirmé, ce qui entraîne le rejet de l'appel interjeté aux frais de son auteur. La plaignante, qui obtient gain de cause, a droit à des dépens pénaux qu'il convient de fixer à 1'000 fr., celle-ci ayant requis un montant de 3'500 fr. pour les procédures de première et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