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96 vom 26. Mai 2011</w:t>
      </w:r>
    </w:p>
    <w:p>
      <w:r>
        <w:t>VD Tribunal cantonal, 2011-05-26, FR</w:t>
      </w:r>
    </w:p>
    <w:p>
      <w:r>
        <w:rPr>
          <w:b/>
        </w:rPr>
        <w:t xml:space="preserve">Quelle: </w:t>
      </w:r>
      <w:r>
        <w:t>https://mcp.opencaselaw.ch/entscheid/vd_findinfo_Jug___2011___96</w:t>
      </w:r>
    </w:p>
    <w:p>
      <w:r>
        <w:t>FR: VD_FINDINFO Jug / 2011 / 96 du 26 mai 2011</w:t>
      </w:r>
    </w:p>
    <w:p>
      <w:r>
        <w:t>IT: VD_FINDINFO Jug / 2011 / 96 del 26 maggio 2011</w:t>
      </w:r>
    </w:p>
    <w:p>
      <w:pPr>
        <w:pStyle w:val="Heading2"/>
      </w:pPr>
      <w:r>
        <w:t>Regeste</w:t>
      </w:r>
    </w:p>
    <w:p>
      <w:r>
        <w:t>NON-LIEU, DÉCISION D'IRRECEVABILITÉ | 319 CPP (CH), 393 CPP (CH)</w:t>
      </w:r>
    </w:p>
    <w:p>
      <w:pPr>
        <w:pStyle w:val="Heading2"/>
      </w:pPr>
      <w:r>
        <w:t>Erwägungen</w:t>
      </w:r>
    </w:p>
    <w:p>
      <w:r>
        <w:rPr>
          <w:b/>
        </w:rPr>
        <w:t>E. 1</w:t>
      </w:r>
    </w:p>
    <w:p>
      <w:r>
        <w:t>a) Les parties peuvent attaquer une ordonnance de classement rendue par le ministère public (cf. art. 319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du 19 mai 2009, RSV 312.01] ; art. 80 LOJV [Loi d'organisation judiciaire du 12 décembre 1979, RSV 173.01]). Le délai de recours de dix jours (cf. aussi art. 396 al. 1 CPP) – qui ne peut être prolongé (art. 89 al. 1 CPP) – commence à courir le jour qui suit la notification de l’ordonnance entreprise (art. 90 al. 1 et 384 let. b CPP ;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b) Selon la jurisprudence, lorsqu'une partie admet avoir reçu une décision, on peut présumer que celle-ci lui est parvenue dans un laps de temps normal. L'autorité est alors dispensée d'apporter la preuve qui lui incombe, pour autant que les circonstances particulières ne conduisent pas à renverser cette présomption (ATF 85 II 187 c. 1, JT 1960 I 78). En ce qui concerne le délai d'acheminement postal, le Tribunal fédéral déclarait en 1960 que ce délai usuel était d'un ou deux jours (ATF 85 II 187 c. 1 précité), alors que le Tribunal administratif du canton de Vaud l'a porté à deux ou trois jours dans un arrêt rendu en 1997 (cf. TA PS.96/0347 du 15 avril 1997). Une telle période de deux à trois jours était celle que garantissait, pour un envoi en courrier dit « B », l'art. 24 de l'ordonnance du 1 er septembre 1967 relative à la loi sur le service des postes (RO 1990 II 1450). Depuis l'abrogation de cette ordonnance, à savoir dès le 1 er janvier 1998 (RO 1997 2461; art. 13 let. a de l'ordonnance sur la poste, elle-même abrogée ensuite par l'ordonnance du 26 novembre 2003 sur la poste, entrée en vigueur le 1 er janvier 2004 [OPO, RS 783.01]), la nouvelle loi fédérale du 30 avril 1997 sur la poste (LPO, RS 783.0) prévoit, à son art. 11, que la Poste définit les conditions générales d'utilisation de ses services. C'est ainsi que cet établissement autonome de droit public (art.</w:t>
      </w:r>
    </w:p>
    <w:p>
      <w:r>
        <w:rPr>
          <w:b/>
        </w:rPr>
        <w:t>E. 2</w:t>
      </w:r>
    </w:p>
    <w:p>
      <w:r>
        <w:t>Il résulte de ce qui précède que le recours, manifestement irrecevable, doit être écarté sans autres échanges d’écritures (art. 390 al. 2 CPP), et l’ordonnance maintenue. Quoique le recourant doive être considéré comme ayant succombé dès lors que son recours est irrecevable (art. 428 al. 1 CPP), le présent arrêt sera exceptionnellement rendu sans frais. Par ces motifs, la Chambre des recours pénale, statuant à huis clos, prononce : I. Le recours est irrecevable. II. L’ordonnance est maintenue. III. Le présent arrêt, rendu sans frais, est exécutoire. Le président :               La greffière : Du L'arrêt qui précède, dont la rédaction a été approuvée à huis clos, est notifié, par l'envoi d'une copie complète, à : - M. Benoît Morzier, avocat (pour S.________), - M. K.________,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