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91 vom 7. Februar 2011</w:t>
      </w:r>
    </w:p>
    <w:p>
      <w:r>
        <w:t>VD Tribunal cantonal, 2011-02-07, FR</w:t>
      </w:r>
    </w:p>
    <w:p>
      <w:r>
        <w:rPr>
          <w:b/>
        </w:rPr>
        <w:t xml:space="preserve">Quelle: </w:t>
      </w:r>
      <w:r>
        <w:t>https://mcp.opencaselaw.ch/entscheid/vd_findinfo_Jug___2011___91</w:t>
      </w:r>
    </w:p>
    <w:p>
      <w:r>
        <w:t>FR: VD_FINDINFO Jug / 2011 / 91 du 7 février 2011</w:t>
      </w:r>
    </w:p>
    <w:p>
      <w:r>
        <w:t>IT: VD_FINDINFO Jug / 2011 / 91 del 7 febbraio 2011</w:t>
      </w:r>
    </w:p>
    <w:p>
      <w:pPr>
        <w:pStyle w:val="Heading2"/>
      </w:pPr>
      <w:r>
        <w:t>Regeste</w:t>
      </w:r>
    </w:p>
    <w:p>
      <w:r>
        <w:t>VIOLATION DES RÈGLES DE LA CIRCULATION, LIBRE APPRÉCIATION DES PREUVES, CONSTATATION DES FAITS, FIXATION DE LA PEINE, EXCÈS DE VITESSE | 6 par. 2 CEDH, 47 CP, 32 al. 1 Cst., 90 ch. 1 LCR, 90 ch. 2 LCR, 10 al. 2 CPP (CH), 398 al. 3 let. b CPP (CH), 7 al. 3 OOCCR-OFROU, 8 al. 1 let. g OOCCR-OFROU</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T.________ "remet en cause l'intégralité des faits" constatés dans le jugement (recours, p. 2 in initio ; art. 399 al. 3 let. a CPP). Elle soutient au préalable que les gendarmes qui l'ont interpellée à la sortie de l'autoroute ont été contrariés par le fait qu'elle ait contesté les infractions qui lui étaient reprochées. Elle relève que le rapport de police du 19 juillet 2009 (pièce 4) sur lequel s'est fondé le premier juge est faux et totalement incohérent. Elle se réfère plus particulièrement sur ce point au témoignage de son frère (jugt, p. 3) qui a confirmé qu'elle ne s'était pas agenouillée devant les policiers, contrairement à ce qui a été constaté par ces derniers; selon l'appelante, "cette seule description dans le rapport de gendarmerie d'une attitude qu'[elle] n'a pas eue suffit à décrédibiliser complètement [ledit] rapport" (recours, p. 3, par. 2).</w:t>
      </w:r>
    </w:p>
    <w:p>
      <w:r>
        <w:rPr>
          <w:b/>
        </w:rPr>
        <w:t>E. 3.1</w:t>
      </w:r>
    </w:p>
    <w:p>
      <w:r>
        <w:t>Le principe de l'appréciation libre des preuves, consacré par l'art. 10 al. 2 CPP (cf. art. 379 et 389 al. 1 CPP) interdit d'attribuer d'entrée de cause une force probante accrue à certains moyens de preuve, comme par exemple des rapports de police. Cela ne signifie pas pour autant, en application de la maxime in dubio pro reo , qu'en présence de moyens de preuve contradictoires, le Tribunal doive automatiquement privilégier les plus favorables pour le prévenu (TF 1P.283/2006 du 4 août 2006 c. 2.3 et la réf. cit.). Contrairement à ce que paraît penser l'appelante, on ne saurait non plus dénier d'emblée toute force probante à un rapport de police. Celui-ci est en effet, par sa nature, destiné et propre à servir de moyen de preuve, dans la mesure où le policier y reproduit des faits qu'il a constatés et il est fréquent que l'on se fonde, dans les procédures judiciaires, sur les constatations ainsi transcrites. Il en va de la sorte en matière de circulation routière (TF 6B_285/2010 du 4 avril 2010 c. 3.1 et les réf. cit.).</w:t>
      </w:r>
    </w:p>
    <w:p>
      <w:r>
        <w:rPr>
          <w:b/>
        </w:rPr>
        <w:t>E. 3.2</w:t>
      </w:r>
    </w:p>
    <w:p>
      <w:r>
        <w:t>On ne voit pas, en l'espèce, ce qui justifierait de traiter différemment le rapport de police du 19 juillet 2009 sur lequel s'est fondé le tribunal. On ne saurait, comme le fait valoir T.________, lui dénier toute force probante pour le seul motif que le témoin [...] a déclaré en audience que l'appelante ne s'était pas agenouillée devant les gendarmes au moment de son interpellation. On constatera sur ce point que le lien familial du témoin avec la prévenue peut justifier une certaine réserve dans l'appréciation de sa déposition. A cela s'ajoute que ledit témoin, qui a admis ignorer quels étaient les propos exacts tenus par sa sœur, a affirmé que celle-ci ne s'était pas énervée, alors qu'il ressort clairement des pièces du dossier que l'appelante a refusé de signer tout document (pièces 5 et 6), qu'elle a contesté tous les faits au moment de son interpellation – ce qu'elle admet d'ailleurs elle-même dans son recours (p. 3) – et qu'elle a dit en cours d'instruction, en référence avec les événements litigieux, "qu'il y a beaucoup de racisme" (PV aud. 1); sur la base de ces éléments, la remarque du rapport de police (pièce 4, p. 4) selon laquelle la saisie du permis de conduire a déclenché "un comportement d'énervement" de la part de T.________ n'est pas absolument farfelue, comme celle-ci le prétend. Le témoignage de son frère ne modifie pas cette appréciation et le fait qu'il ait été soi-disant impressionné par la manière dont la prévenue a été interpellée n'est pas pertinent (recours, p. 3). Enfin et surtout, la déposition dont se prévaut la prénommée ne porte pas directement sur les faits qui lui sont reprochés, la question de savoir si elle s'est agenouillée ou non n'étant pas déterminante pour l'issue de la cause. Cela étant, c'est à juste titre que l'autorité cantonale, confrontée à deux versions des faits, a estimé qu'aucune raison objective ne permettait de mettre en doute le rapport de police, confirmé par ses auteurs lors des débats. On relèvera à cet égard qu'il s'agit d'agents assermentés, que leurs déclarations sont concordantes et qu'elles sont à tout le moins partiellement confirmées par les éléments du dossier. En effet, on observera sur ce dernier point que les dénonciateurs ont indiqué correctement que la prévenue avait contesté toutes les fautes qui lui étaient reprochées (pièce 4, p. 4; PV aud. 2) et leurs explications quant à l'endroit où a eu lieu l'interpellation et à la manière dont ils ont rattrapé le véhicule de l'intéressée sont corroborées par les déclarations tant du témoin précité que de l'appelante elle-même. Il ne peut donc être retenu que les gendarmes ont tout inventé, comme le prétend T.________. De surcroît, l'instruction n'a pas permis de confirmer la version exposée par la prévenue, qui a du reste renoncé à l'administration de toute preuve nouvelle. Il s'ensuit que la démarche consistant à établir les faits sur la base du rapport de police du 19 juillet 2009 n'est pas contraire à la maxime in dubio pro reo au stade de l'appréciation des preuves. Autre est la question de déterminer quelles sont les conclusions qui peuvent être tirées de ce rapport.</w:t>
      </w:r>
    </w:p>
    <w:p>
      <w:r>
        <w:rPr>
          <w:b/>
        </w:rPr>
        <w:t>E. 4</w:t>
      </w:r>
    </w:p>
    <w:p>
      <w:r>
        <w:t>T.________ invoque la constatation incomplète ou erronée des faits (art. 398 al. 3 let. b CPP). Il ressort de ses moyens qu'elle conteste le raisonnement par lequel le premier juge a acquis la conviction qu'elle avait commis les infractions qui lui étaient reprochées.</w:t>
      </w:r>
    </w:p>
    <w:p>
      <w:r>
        <w:rPr>
          <w:b/>
        </w:rPr>
        <w:t>E. 4.1</w:t>
      </w:r>
    </w:p>
    <w:p>
      <w:r>
        <w:t>La constatation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La présomption d'innocence, qui est garantie par les art. 14 par. 2 Pacte ONU II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w:t>
      </w:r>
    </w:p>
    <w:p>
      <w:r>
        <w:rPr>
          <w:b/>
        </w:rPr>
        <w:t>E. 4.2.1</w:t>
      </w:r>
    </w:p>
    <w:p>
      <w:r>
        <w:t>L'appelante reproche tout d'abord au tribunal d'avoir retenu deux excès de vitesse sans respecter les règles usuelles en la matière, à savoir l'art. 6 OOCCR-OFROU (Ordonnance de l'OFROU concernant l'ordonnance sur le contrôle de la circulation routière du 22 mai 2008, RS 741.013.1) et les instructions de l'OFROU concernant les contrôles de vitesse par la police et la surveillance de la circulation aux feux rouges du 22 mai 2008. Selon elle, les policiers n'ont utilisé aucun des systèmes admis par les dispositions susmentionnées pour constater les excès de vitesse, de sorte que c'est à tort qu'elle a été reconnue coupable de violations graves des règles de la circulation pour ces faits.</w:t>
      </w:r>
    </w:p>
    <w:p>
      <w:r>
        <w:rPr>
          <w:b/>
        </w:rPr>
        <w:t>E. 4.2.2</w:t>
      </w:r>
    </w:p>
    <w:p>
      <w:r>
        <w:t>Il ressort du rapport de dénonciation du 19 juillet 2009 (pièce 4, p. 2) ainsi que du jugement attaqué (pp. 5 et 7) que la voiture de police qui a suivi T.________ était un véhicule banalisé sans tachygraphe et que le compteur kilométrique n'a pas été étalonné. Il faut donc considérer que la voiture de police était dépourvue de tout système de mesure calibré. L'art. 7 al. 3 OOCCR-OFROU autorise les mesures de vitesse effectuées au moyen d'un véhicule suiveur sans système de mesure calibré, précisant toutefois qu'elles doivent être limitées aux cas de dépassement de vitesse massifs, par quoi il faut entendre des infractions flagrantes, à savoir des dépassements excessifs de vitesse (cf. ATF 118 IV 188 c. 2d; TA FR, 26 août 1992 in RFJ 1992 p. 350, JT 1993 I 699). Dans ce cas, l'art. 8 al. 1 let. g de cette même ordonnance prévoit la déduction d'une marge de sécurité de 15 km/h pour une valeur mesurée inférieure ou égale à 100 km/h (ch. 1) et de 15 % pour les vitesses supérieures à 100 km/h (ch. 2). Avant l'entrée en vigueur de l'OOCCR-OFROU, il n'existait pas de disposition spécifique à cet égard. Les instructions du DFJP recommandaient, en cas de dépassement de vitesse constaté par une voiture de police dépourvue d'un appareil enregistrant la vitesse, de déduire d'abord du résultat obtenu l'écart de vitesse indiqué dans le rapport de vérification, puis encore 15 % si la police avait suivi le véhicule sur moins de 500 mètres ou 10 % si la poursuite avait eu lieu sur une distance supérieure (JT 1993 I 699 précité). Le Tribunal fédéral a toutefois eu l'occasion de préciser que de telles instructions n'avaient pas le caractère de loi et étaient dénuées de toute force obligatoire, de sorte que le juge n'était nullement lié par elles (ATF 123 II 106 c. 2, JT 1997 I 725; ATF 121 IV 64 c. 3, JT 1997 IV 62; ATF 102 IV 271, SJ 1978 p. 49). Il en va dès lors de même des instructions de l'OFROU du 22 mai 2008. C'est donc en vain que T.________ invoque une violation du droit en référence avec lesdites instructions (recours, p. 5; Kistler Vianin, op. cit., n. 14 ad art. 398 CPP). Ainsi, avec l'art. 8 al. 1 let g OOCCR-OFROU, qui constitue la concrétisation d'une appréciation raisonnable des preuves par le juge pénal dans le domaine des excès de vitesse, les anciennes instructions du DFJP édictées en matière de mesure de vitesse sans système d'enregistrement sont entrées dans la loi, étant rappelé que par droit fédéral, on doit entendre les normes ressortant de la loi, ou d'arrêtés ou d'ordonnances pris en application et en conformité de la loi (ATF 102 IV 271, SJ 1978 p. 49 précité).</w:t>
      </w:r>
    </w:p>
    <w:p>
      <w:r>
        <w:rPr>
          <w:b/>
        </w:rPr>
        <w:t>E. 4.2.3</w:t>
      </w:r>
    </w:p>
    <w:p>
      <w:r>
        <w:t>En l'espèce, la police, qui a suivi T.________ sur une distance de 1500 mètres, a constaté, à la sortie du tunnel de Belmont, où la vitesse est limitée à 80 km/h, que la conductrice roulait à une allure de l'ordre de 140 km/h, ce qui, après déduction d'une marge de sécurité de 15 % (art. 8 al. 1 let. g ch. 2 OOCCR-OFROU), représente une vitesse de 119 km/h, soit un dépassement de 39 km/h de la vitesse autorisée à cet endroit. Un tel excès de vitesse sur une autoroute est bien constitutif d'une violation grave des règles de la circulation au sens de l'art. 90 ch. 2 LCR (Loi fédérale sur la circulation routière du 19 décembre 1958) et ce, même si, comme c'est le cas en l'occurrence, la visibilité est excellente et le trafic de moyenne densité ( ATF 118 IV 188 précité). S'agissant en revanche du second excès de vitesse, la police a indiqué que la prévenue circulait à une allure de l'ordre de 150 km/h sur un tronçon où la vitesse est limitée à 100 km/h. Cette vitesse correspond, marge de sécurité déduite, à un excès de 27,5 km/h par rapport à la vitesse autorisée. Il s'agit donc, pour ce dernier cas, d'une violation simple – et non pas grave – des règles de la circulation, comme le tribunal l'a retenu. Les éventuelles conséquences sur la peine de cette modification de la qualification pénale seront examinées ci-après.</w:t>
      </w:r>
    </w:p>
    <w:p>
      <w:r>
        <w:rPr>
          <w:b/>
        </w:rPr>
        <w:t>E. 4.3</w:t>
      </w:r>
    </w:p>
    <w:p>
      <w:r>
        <w:t>T.________ allègue ensuite que dans la mesure où le rapport de police a retenu qu'elle était restée continuellement sur la voie de droite, le premier juge a constaté à tort qu'elle avait franchi la ligne de sécurité du marquage temporaire permettant la déviation de la circulation sur la voie de droite et sur la bande d'arrêt d'urgence (jugt, p. 5, c. 2, ch. 1.2). Contrairement à ce que fait valoir la prénommée, le fait qu'elle soit restée "continuellement sur la voie de droite" n'exclut pas qu'elle ait franchi la ligne de sécurité. L'intéressée fait une mauvaise interprétation de la phrase litigieuse. La simple lecture du rapport permet de comprendre qu'en réalité, en raison des travaux et d'un marquage spécial sur la chaussée, l'appelante aurait dû se rabattre sur la bande d'arrêt d'urgence pour se conformer à la signalisation. En restant sur la voie de droite, elle a franchi la ligne de sécurité du marquage temporaire "pour dépasser les autres usagers". Cette conclusion est d'autant plus logique qu'à la sortie du tunnel de Belmont, soit à la hauteur des travaux en question, l'intéressée roulait à une vitesse nettement excessive, comme on l'a rappelé ci-avant, ce qui lui a donc permis de rester sur la voie de droite et de dépasser les autres automobilistes, mais en franchissant la ligne de sécurité. Partant, le moyen tiré d'une constatation erronée des faits est mal fondé et doit être rejeté.</w:t>
      </w:r>
    </w:p>
    <w:p>
      <w:r>
        <w:rPr>
          <w:b/>
        </w:rPr>
        <w:t>E. 4.4</w:t>
      </w:r>
    </w:p>
    <w:p>
      <w:r>
        <w:t>T.________ conteste toute faute pour ne pas avoir réintégré la voie de droite entre la jonction de Vennes et l'échangeur de Villars-Ste-Croix. Contrairement à ce qu'elle prétend, cette contravention n'a pas seulement été commise aux abords de l'échangeur où se trouvent la jonction pour Yverdon, celle pour Genève et la sortie de Crissier, mais elle l'a également été sur la section précédente, où il n'y a aucun changement de direction à envisager. En outre, dès lors que "chaque justiciable a connaissance de ce tronçon", comme la prévenue l'admet elle-même (recours, p. 7, par. 2), elle savait quelle "portion d'autoroute" – pour reprendre ses propres termes – elle devait emprunter pour se rendre à Morges, où son frère l'attendait, les panneaux indicateurs de direction pour Genève étant d'ailleurs bien visibles à l'approche de l'échangeur en question. L'appelante ne saurait ainsi rien tirer en sa faveur de l'indication du tribunal selon laquelle il n'est pas toujours aisé de savoir exactement ce qu'il faut faire à cet endroit (jugt, p. 7), ce d'autant plus qu'en l'occurrence, le trafic était fluide, ce qui rendait possible l'usage de la bonne voie, comme l'a précisé le premier juge ( ibidem ); ce dernier point est confirmé par le fait que l'intéressée n'a pas hésité à dépasser un automobiliste par la droite, comme on le verra ci-après. Enfin, T.________ ne saurait se prévaloir du fait qu'elle n'a créé aucune mise en danger de la circulation, puisque seul l'art. 90 ch. 1 LCR, qui ne prévoit pas cette condition, a été retenu pour ces faits. Mal fondé, le moyen doit donc être rejeté.</w:t>
      </w:r>
    </w:p>
    <w:p>
      <w:r>
        <w:rPr>
          <w:b/>
        </w:rPr>
        <w:t>E. 4.5</w:t>
      </w:r>
    </w:p>
    <w:p>
      <w:r>
        <w:t>L'appelante soutient que le premier juge a retenu à tort que peu avant l'échangeur de Villars-Ste-Croix, elle avait rattrapé un usager sur la voie centrale et l'avait dépassé par la droite, sans faire usage des indicateurs de direction, puisqu'il ressort du rapport de police que l'automobiliste qui la précédait circulait "normalement", ce qui signifie, selon elle, que ce dernier roulait sur la voie de droite. La prévenue a tort. Contrairement à ce qu'elle affirme (recours, p. 8, par. 1), les gendarmes ont bel et bien précisé, en page 2, paragraphe 2, du rapport de dénonciation, que l'usager qu'elle avait rattrapé circulait sur la voie centrale, ce qui n'exclut pas, comme elle le prétend, que cet automobiliste roulait "normalement en direction de Genève". Partant, on ne saurait reprocher au tribunal, qui a indiqué que la prénommée avait dépassé par la droite un véhicule qui circulait sur la voie centrale, d'avoir constaté les faits de manière erronée. Il n'y a, dès lors, aucune contradiction entre le rapport de police et le jugement attaqué. Le moyen est mal fondé et doit donc être rejeté.</w:t>
      </w:r>
    </w:p>
    <w:p>
      <w:r>
        <w:rPr>
          <w:b/>
        </w:rPr>
        <w:t>E. 4.6</w:t>
      </w:r>
    </w:p>
    <w:p>
      <w:r>
        <w:t>L'appelante soulève la même objection s'agissant du dépassement par la droite d'un véhicule allemand. Encore une fois, son argumentation procède d'une mauvaise lecture du rapport de police, puisque celui-ci indique clairement que le conducteur qui précédait la prévenue roulait sur la voie de gauche. Replacée dans le contexte auquel elle appartient, l'expression selon laquelle l'automobiliste en question conduisait "normalement" se réfère non pas à la voie de circulation, mais à sa vitesse, l'intéressée, quant à elle, "roula[n]t toujours à une vitesse supérieure à celle prescrite", comme le précise le rapport. Par conséquent, mal fondé, ce grief doit également être rejeté.</w:t>
      </w:r>
    </w:p>
    <w:p>
      <w:r>
        <w:rPr>
          <w:b/>
        </w:rPr>
        <w:t>E. 4.7</w:t>
      </w:r>
    </w:p>
    <w:p>
      <w:r>
        <w:t>T.________ s'en prend ensuite à l'indication du tribunal selon laquelle, après le dépassement du conducteur allemand par la droite, elle a contraint ce dernier à freiner au moment où elle s'est déplacée sur la voie de gauche. Elle estime avoir été "surprise par la vitesse de la voiture allemande" et avoir ainsi été "contrainte (…) de se rabattre sur la voie de gauche" (recours, p. 9, let F, par. 5). Outre le fait que ce n'est pas sur la voie de gauche, mais sur celle de droite que la prénommée s'est rabattue, il résulte du rapport de dénonciation qu'elle a rattrapé un camion sur la voie de droite, ce qui sous-entend qu'elle n'a pas pu maintenir son allure avant la tentative de dépassement qui a contraint l'automobiliste allemand à freiner. Cela explique également pourquoi ce dernier circulait à une vitesse supérieure à celle de l'appelante. Rien ne démontre, en revanche, que l'usager allemand roulait à une allure "extrêmement élevée", comme le soutient la prévenue; si tel devait être le cas, on se demande alors quelle vitesse aurait dû atteindre T.________ pour dépasser à son tour le véhicule en question, le rapport précisant en effet que l'intéressée a accéléré et s'est déplacée à nouveau à gauche devant ledit conducteur, ce qu'elle ne conteste d'ailleurs pas. Quoi qu'il en soit, le fait que l'appelante ait réintégré la voie de droite démontre que sa manœuvre a effectivement gêné l'automobiliste allemand qui a dû freiner, ce qui constitue bel et bien une violation grave des règles de la circulation. Mal fondé, le moyen ne peut dès lors qu'être rejeté.</w:t>
      </w:r>
    </w:p>
    <w:p>
      <w:r>
        <w:rPr>
          <w:b/>
        </w:rPr>
        <w:t>E. 4.8</w:t>
      </w:r>
    </w:p>
    <w:p>
      <w:r>
        <w:t>T.________ reproche enfin au tribunal d'avoir retenu qu'elle avait talonné un autre automobiliste à l'approche de la zone de travaux Ecublens-Morges. Elle fait valoir que le rapport de police ne contient aucune indication quant à la distance entre son véhicule et celui des gendarmes, de sorte que ceux-ci ne pouvaient affirmer de manière aussi péremptoire qu'elle circulait à une distance de 5 à 10 mètres de la voiture qui la précédait. Cet argument tombe à faux. Le rapport de dénonciation précise clairement que les policiers ont suivi l'appelante sur une longue distance, soit sur environ quinze kilomètres (jugt, p. 7 in fine ), qu'il n'y avait pas beaucoup de trafic et que la visibilité était bonne. Dans ces conditions, l'indication des gendarmes, reprise par le tribunal, selon laquelle la prévenue a suivi l'automobiliste qui la précédait à une distance variant entre 5 et 10 mètres ne souffre aucune critique. Même si l'on admettait que les dénonciateurs se trouvaient à 40 mètres de T.________, comme celle-ci le prétend (recours, p. 10), cela n'exclurait pas en soi, vu les circonstances, qu'ils aient pu déterminer que la prénommée talonnait un autre véhicule. Au contraire, le fait que l'intéressée ait suivi la voiture en question sur plusieurs centaines de mètres, ce qu'elle ne conteste d'ailleurs pas, a permis aux gendarmes d'établir à quelle distance approximative la prévenue roulait de l'autre usager. Au surplus, il ressort du rapport (p. 3) qu'à l'endroit incriminé, la chaussée était réduite à une seule voie de circulation, que la vitesse était limitée à 80 km/h, que T.________, qui avait circulé jusque là à une vitesse excessive, avait "rattrapé" le véhicule en cause et qu'elle était en retard au rendez-vous. Au vu de ces éléments, le talonnage qui est reproché à l'appelante est établi. Le jugement ne contient dès lors aucune constatation incomplète ou erronée des faits. Le moyen est mal fondé et doit donc être rejeté.</w:t>
      </w:r>
    </w:p>
    <w:p>
      <w:r>
        <w:rPr>
          <w:b/>
        </w:rPr>
        <w:t>E. 5</w:t>
      </w:r>
    </w:p>
    <w:p>
      <w:r>
        <w:t>Reste à déterminer dans quelle mesure la modification de la qualification pénale d'une violation grave en violation simple des règles de la circulation (cf. ch. 4.2.3 supra ) influe sur la peine fixée par le tribunal, étant précisé que T.________ ne conteste pas en soi la sanction qui lui a été infligée, si ce n'est pour affirmer, en partant du principe que tous ses moyens sont admis, qu'elle doit être acquittée. On rappellera sur ce point que la Cour d'appel pénale peut statuer d'office sur le genre et la quotité de la peine (art. 404 al. 2 CPP).</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les éléments fondant la culpabilité que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al. 1 CP fixe le principe et reprend le critère des antécédents et de la situation personnelle. La portée de l'absence d'antécédents doit être relativisée. En effet, sauf circonstances exceptionnelles, elle a un effet neutre sur la fixation de la peine et n'a donc plus à être prise en considération dans un sens atténuant (ATF 136 IV 1 c. 2.6.4). L'art. 47 al. 1 CP enjoint encore au juge de prendre en considération l'effet de la peine sur l'avenir du condamné. Cet aspect de prévention spéciale ne permet toutefois que des corrections marginales, la peine devant toujours rester proportionnée à la faute (TF 6B_14/2007 du 17 avril 2007, c. 5.2). Codifiant la jurisprudence rendue sous l'empire de l'ancien droit (art. 63a CP), l'art. 47 al. 2 CP énumère de manière non limitative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 cit.). Sur le plan subjectif, le texte légal cite la motivation et les buts de l’auteur, qui correspondent aux mobiles de l’ancien droit (art. 63 aCP), et la mesure dans laquelle l’auteur aurait pu éviter la mise en danger ou la lésion, qui se réfère au libre choix de l’auteur entre la licéité et l’illicéité (ATF 127 IV 101, précité, c. 2a). Concernant ce dernier élément, le législateur enjoint le juge de tenir compte de la situation personnelle de l’intéressé et des circonstances extérieures (TF 6B_143/2007 du 25 juin 2007 c. 8.1). En vertu de l'art. 50 CP, le choix de la sanction, comme la quotité et la durée de celle qui est prononcée, doivent être motivés de manière suffisante.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 l'importance qu'il accorde à chacun des éléments qu'il cite (ATF 127 IV 101 c. 2c et les arrêts cités). Plus la peine est élevée, plus la motivation doit être complète (ATF 134 IV 17 c. 4.2.1 et les arrêts cités).</w:t>
      </w:r>
    </w:p>
    <w:p>
      <w:r>
        <w:rPr>
          <w:b/>
        </w:rPr>
        <w:t>E. 5.2</w:t>
      </w:r>
    </w:p>
    <w:p>
      <w:r>
        <w:t>En définitive, T.________ s'est rendue coupable de cinq violations simples et de trois violations graves des règles de la circulation au sens de l'art. 90 ch. 1 et 2 LCR, qui entrent en concours (art. 49 al. 1 CP). Les violations graves des règles de la circulation consistent en un excès de vitesse, une tentative de dépassement qui a contraint un autre automobiliste à freiner d'urgence et un talonnage. Les règles enfreintes étant essentielles à la sécurité routière, il s'agit bel et bien de cas entraînant l'application de l'art. 90 ch. 2 LCR, ce qui n'est en soi pas contesté. A cela s'ajoutent ainsi cinq contraventions pour franchissement d'une ligne de sécurité, excès de vitesse, circulation abusive sur la voie centrale et deux dépassements par la droite sans l'usage des indicateurs de direction. Cette énumération montre que, compte tenu du concours de délits et de l'accumulation de contraventions, la peine prononcée par le premier juge est encore parfaitement justifiée. La Cour d'appel pénale considère, à l'instar du premier juge (jugt, p. 7 in fine ), que la culpabilité de T.________ n'est pas légère. On rappellera que c'est prise dans son ensemble que la peine prononcée doit correspondre à la culpabilité de l'auteur telle qu'elle est définie par la loi. C'est donc en regard de la sanction globale que l'autorité de céans doit examiner si la quotité de la peine pécuniaire et l'amende ont été fixées conformément aux principes qui viennent d'être rappelés (TF 6S.677/1996 du 4 novembre 1996 c. 2a). Partant, la modification de la qualification juridique d'un excès de vitesse telle que retenue ci-avant n'entraîne pas à elle seule une diminution des jours-amende. Si tel devait être le cas, il faudrait augmenter le montant de l'amende pour la contravention supplémentaire ainsi que la quotité de la peine privative de liberté de substitution, ce qui pourrait constituer une aggravation de la sanction, interdite par l'art. 391 al. 2 CPP (CCASS, 14 février 2007, n° 118). A cela s'ajoute que le tribunal a suivi le Ministère public dans sa réquisition tout en précisant à bon droit que la peine demandée était clémente (jugt, idem ), de sorte que, pour ce second motif également, le fait de modifier la qualification d'une seule infraction peut rester sans conséquence dans le cas d'espèce, ce d'autant plus que la qualification des infractions prises dans leur ensemble ne subit, quant à elle, aucun changement, T.________ étant toujours reconnue coupable de violations simples et graves des règles de la circulation. Enfin, le tribunal a retenu que l'absence d'antécédents atténuait – certes légèrement – la culpabilité de la prévenue, alors que, comme on l'a vu ci-haut, cet élément ne doit pas être pris en considération dans un sens atténuant, sauf circonstances exceptionnelles, inexistantes en l'espèce. Ensuite, par son attitude tant devant la police que devant le Juge d'instruction, la prénommée a démontré, comme le tribunal l'a à juste titre relevé (jugt, p. 7 in fine ), une absence totale de prise de conscience, se limitant dans un premier temps à nier les faits, avant de prétendre qu'elle était victime de racisme de la part des policiers (PV aud. 1, p. 2), et allant jusqu'à affirmer pour finir (recours, pp. 3 et 11) que les dénonciateurs ont été contrariés par son attitude de déni et que c'est pour ce motif qu'ils ont tout inventé. Le comportement autoroutier de l'intéressée est d'autant plus inquiétant que moins de cinq mois avant les faits litigieux, elle a reçu un avertissement du Service des automobiles pour excès de vitesse (jugt, p. 5; PV aud. 1, p. 1 in fine ). Pour le reste, une peine pécuniaire (art. 34 CP) est adéquate pour réprimer une infraction relevant de la moyenne délinquance, commise par un auteur dépourvu d'antécédents et bien socialisé (cf. ATF 134 IV 82 c. 4.1; TF 6B_541/2007 du 13 mai 2008), et le montant du jour-amende tient compte des ressources de la prévenue (jugt, p. 5 in initio ). En définitive, une peine pécuniaire de huitante jours-amende à 80 fr. le jour-amende, avec sursis pendant trois ans, et une amende de 960 fr. apparaissent adéquates.</w:t>
      </w:r>
    </w:p>
    <w:p>
      <w:r>
        <w:rPr>
          <w:b/>
        </w:rPr>
        <w:t>E. 6</w:t>
      </w:r>
    </w:p>
    <w:p>
      <w:r>
        <w:t>En conclusion, l'appel doit être rejeté et le jugement attaqué intégralement confirmé, la modification de la qualification juridique retenue étant sans incidence sur le dispositif du jugement entrepris. Vu l'issue de la cause, les frais du présent jugement selon l'art. 424 CPP doivent être mis à la charge de l’appelante (art. 428 al. 1, 1 ère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