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90 vom 23. Mai 2011</w:t>
      </w:r>
    </w:p>
    <w:p>
      <w:r>
        <w:t>VD Tribunal cantonal, 2011-05-23, FR</w:t>
      </w:r>
    </w:p>
    <w:p>
      <w:r>
        <w:rPr>
          <w:b/>
        </w:rPr>
        <w:t xml:space="preserve">Quelle: </w:t>
      </w:r>
      <w:r>
        <w:t>https://mcp.opencaselaw.ch/entscheid/vd_findinfo_Jug___2011___90</w:t>
      </w:r>
    </w:p>
    <w:p>
      <w:r>
        <w:t>FR: VD_FINDINFO Jug / 2011 / 90 du 23 mai 2011</w:t>
      </w:r>
    </w:p>
    <w:p>
      <w:r>
        <w:t>IT: VD_FINDINFO Jug / 2011 / 90 del 23 maggio 2011</w:t>
      </w:r>
    </w:p>
    <w:p>
      <w:pPr>
        <w:pStyle w:val="Heading2"/>
      </w:pPr>
      <w:r>
        <w:t>Regeste</w:t>
      </w:r>
    </w:p>
    <w:p>
      <w:r>
        <w:t>CLASSEMENT DE LA PROCÉDURE, DOMMAGES À LA PROPRIÉTÉ{DROIT PÉNAL} | 144 CP, 310 CPP (CH), 393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a)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Il est donc nécessaire qu’il apparaisse d’emblée que l’un des éléments constitutifs de l’infraction fait manifestement défaut (Cornu, in: Kuhn/Jeanneret (éd.), Commentaire romand, Code de procédure pénale suisse, Bâle 2011, n. 8 ad art. 310 CPP, p. 1411). Des motifs de fait peuvent également justifier la non-entrée en matière (Cornu, op. cit., n. 9 ad art. 310 CPP, p. 1411).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(Cornu, op. cit., n. 9 ad art. 310 CPP, p. 1411). b) Selon l’art. 144 al. 1 CP (Code pénal suisse du 21 décembre 1937, RS 311.0), celui qui aura endommagé, détruit ou mis hors d’usage une chose appartenant à autrui ou frappée d’un droit d’usage ou d’usufruit au bénéfice d’autrui sera, sur plainte, puni d’une peine privative de liberté de trois ans au plus ou d’une peine pécuniaire. Est seul punissable celui qui commet une telle infraction intentionnellement (art. 12 al. 1 CP en relation avec l’art. 144 al. 1 CP). En l’espèce, il n’est pas possible d’affirmer d’emblée que l’élément subjectif de l’infraction de dommages à la propriété n’est manifestement pas réalisé. En effet, les photos produites par le recourant montrent des dommages qui pourraient être volontaires, tels que des graffitis (P. 5 du Bordereau des pièces produites par le recourant). En outre, il ressort de la plainte du recourant qu’en raison du tapage causé par les prévenus, le bail a été résilié par Z.________ et qu’il a fallu une procédure d’expulsion pour les faire partir. Dans ce cadre, A.T.________ aurait menacé le recourant en lui disant notamment qu’il allait lui « faire sa fête » et qu’il viendrait au cabinet de physiothérapie de ce dernier « pour tout casser » (P. 4 du Bordereau des pièces produites par le recourant qui est une copie du témoignage de [...] dans le cadre de l’enquête pour menaces à l’encontre de A.T.________ PE10.018230). Il existe donc un contexte conflictuel entre les parties qui ne permet pas d’exclure d’emblée que les dommages à la propriété constatés dans l’appartement du recourant soient intentionnels. En l'état, il existe dès lors des soupçons suffisants laissant présumer qu'une infraction a été commise (cf. art. 309 al. 1 let. a CPP) et il est donc nécessaire que le procureur ouvre une instruction. Il lui appartiendra, de ce fait, également de statuer sur la requête de jonction présentée par le recourant en date du 23 mars 2011.</w:t>
      </w:r>
    </w:p>
    <w:p>
      <w:r>
        <w:rPr>
          <w:b/>
        </w:rPr>
        <w:t>E. 3</w:t>
      </w:r>
    </w:p>
    <w:p>
      <w:r>
        <w:t>Il résulte de ce qui précède que le recours doit être admis et l’ordonnance annulée. Le dossier de la cause est renvoyé au Procureur de l’arrondissement de Lausanne pour qu'il procède dans le sens des considérants qui précèdent. Les frais du présent arrêt, par 550 fr. (art. 20 al. 1 TFJP [Tarif des frais judiciaires pénaux du 28 septembre 2010, RSV 312.03.1]), sont laissés à la charge de l'Etat (art. 428 al. 4 CPP). Par ces motifs, la Chambre des recours pénale, statuant à huis clos, prononce : I. Le recours est admis. II. L'ordonnance est annulée. III. Le dossier de la cause est renvoyé au Procureur de l’arrondissement de Lausanne pour qu'il procède dans le sens des considérants. IV. Les frais d'arrêt, par 550 fr. (cinq cent cinquante francs), sont laissés à la charge de l'Etat. V. L'arrêt est exécutoire. Le président :               La greffière : Du L'arrêt qui précède, dont la rédaction a été approuvée à huis clos, est notifié, par l'envoi d'une copie complète, à : - Mme Alix de Courten, avocate (pour Z.________), - M. A.T.________, - Ministère public central, et communiqué à : ‑ M. le Procureur de l’arrondissement de Lausanne, par l’envoi de photocopies. - Mme B.T.________, sans domicile connu, n’est pas avisée.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