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89 vom 23. März 2011</w:t>
      </w:r>
    </w:p>
    <w:p>
      <w:r>
        <w:t>VD Tribunal cantonal, 2011-03-23, FR</w:t>
      </w:r>
    </w:p>
    <w:p>
      <w:r>
        <w:rPr>
          <w:b/>
        </w:rPr>
        <w:t xml:space="preserve">Quelle: </w:t>
      </w:r>
      <w:r>
        <w:t>https://mcp.opencaselaw.ch/entscheid/vd_findinfo_Jug___2011___89</w:t>
      </w:r>
    </w:p>
    <w:p>
      <w:r>
        <w:t>FR: VD_FINDINFO Jug / 2011 / 89 du 23 mars 2011</w:t>
      </w:r>
    </w:p>
    <w:p>
      <w:r>
        <w:t>IT: VD_FINDINFO Jug / 2011 / 89 del 23 marzo 2011</w:t>
      </w:r>
    </w:p>
    <w:p>
      <w:pPr>
        <w:pStyle w:val="Heading2"/>
      </w:pPr>
      <w:r>
        <w:t>Regeste</w:t>
      </w:r>
    </w:p>
    <w:p>
      <w:r>
        <w:t>RETRAIT DE L'AUTORITÉ PARENTALE, INTERNATIONAL, FRANCE | 311 al. 1 ch. 1 CC, 311 al. 1 ch. 2 CC, 311 CC, 85 al. 1 LDIP, 174 al. 2 CDPJ</w:t>
      </w:r>
    </w:p>
    <w:p>
      <w:pPr>
        <w:pStyle w:val="Heading2"/>
      </w:pPr>
      <w:r>
        <w:t>Erwägungen</w:t>
      </w:r>
    </w:p>
    <w:p>
      <w:r>
        <w:rPr>
          <w:b/>
        </w:rPr>
        <w:t>E. 1</w:t>
      </w:r>
    </w:p>
    <w:p>
      <w:r>
        <w:t>La cour de céans doit statuer sur le retrait de l'autorité parentale d'une mère sur son fils mineur. a) La mère et l'enfant étant tous deux de nationalité française, la cause présente un élément d'extranéité. A teneur de l'art. 85 al. 1 LDIP (Loi sur le droit international privé du 18 décembre 1987,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entrée en vigueur le 1 er juillet 2009 pour la Suisse, régit notamment l’attribution, l’exercice et le retrait total ou partiel de la responsabilité parentale, ainsi que la délégation de celle-ci,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des mesures tendant à la protection de sa personne ou de ses biens (art. 5 al. 1). Sous réserve de l’art. 7, en cas de changement de la résidence habituelle de l’enfant dans un autre Etat contractant, sont compétentes les autorités de l’Etat de la nouvelle résidence habituelle (art.</w:t>
      </w:r>
    </w:p>
    <w:p>
      <w:r>
        <w:rPr>
          <w:b/>
        </w:rPr>
        <w:t>E. 5</w:t>
      </w:r>
    </w:p>
    <w:p>
      <w:r>
        <w:t>al. 2). Si la CLaH ne définit pas la notion de résidence habituelle, 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 e éd., 2004, nos 3 et 4 ad art. 85 LDIP, pp. 280 et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En l'espèce, B.G.________, mineur, réside de longue date à Château-d'Oex, chez Y.________, et y a manifestement le centre de ses intérêts. Les autorités judiciaires suisses sont donc compétentes pour prendre les mesures de protection prévues par le droit suisse. b)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Lorsque l'enfant vit chez des parents nourriciers ou, d'une autre manière, hors de la communauté familiale des père et mère, ou lorsqu'il y a péril en la demeure, les autorités du lieu où se trouve l'enfant sont également compétentes (art. 315 al. 2 CC). Le moment décisif pour la détermination de la compétence à raison du domicile de l'enfant est celui de l'ouverture de la procédure (ATF 101 II 11 c. 2a, JT 1976 I 53; Hegnauer, Droit suisse de la filiation et de la famille, 4 e éd., adaptation française par Meier, Berne 1998, n. 27.61, p. 203). En l'espèce, au moment de l'ouverture de la procédure en retrait de l'autorité parentale, B.G.________ vivait chez Y.________, à Château-d'Oex. La Justice de paix du district de la Riviera – Pays-d'Enhaut était ainsi compétente pour rendre la décision querellée. 2. La justice de paix a transmis son dossier à l'autorité de surveillance, soit à la Chambre des tutelles (art. 76 LOJV, Loi vaudoise d'organisation judiciaire du 12 décembre 1979, RSV 173.01), conformément à l'art. 399a al. 1 CPC-VD (Code de procédure civile vaudoise du 14 décembre 1966, RSV 270.11, qui reste applicable conformément à l'art. 174 al. 2 CDPJ, Code de droit privé judiciaire vaudois du 12 janvier 2010, RSV 211.01), après que le juge de paix eut instruit une enquête répondant aux exigences de l'art. 400 CPC-VD et le Ministère public formulé son préavis (art.  402 CPC-VD). Bien que régulièrement citée à comparaître par avis publié dans la FAO du 30 novembre 2010, A.G.________ n'a pas comparu à l'audience de la justice de paix du 13 décembre 2010. Elle n'a pas non plus donné suite à la possibilité donnée par le Président de la cour de céans, par avis publié dans la FAO du 13 janvier 2011, de solliciter son audition et de déposer un mémoire. La possibilité de s'exprimer devant l'autorité de surveillance ayant été donnée à l'intéressée, son droit d'être entendue a été respecté. Conformément à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l'audition (art. 371a CPC-VD, par renvoi de l'art. 399 al. 3 CPC-VD).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Dans le cas particulier, B.G.________ n'a pas été entendu formellement par la justice de paix. Il a toutefois été vu et entendu par le SPJ. L'audition de l'enfant ayant été effectuée par un organisme approprié et celui-ci ayant retranscrit son avis, il y a lieu de considérer que son droit d'être entendu a été respecté. Les conditions de procédure posées par les art. 399a ss CPC-VD étant remplies, l'autorité de céans est en mesure de statuer. 3. Y.________ espère que l'autorité parentale lui permettra d'obtenir une autorisation de séjour pour B.G.________. Or, si l'autorité parentale est retirée à la mère, c'est un tuteur qui devra être désigné à l'enfant. Quant à la reconnaissance de paternité opérée en 2004 devant les autorités françaises, sa validité est douteuse dans la mesure où Y.________ n'est pas le père biologique, ce qu'il admet lui-même. De plus, l'art. 372 du Code civil français ne donne l'autorité parentale au père non marié que si la reconnaissance intervient dans l'année suivant la naissance, ce qui n'est pas le cas en l'espèce. Toutefois, il ne s'agit pas ici d'attribuer l'autorité parentale ou de désigner le tuteur, mais uniquement de déterminer si les conditions d'un retrait de l'autorité parentale de la mère sont remplies. 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CTUT, 19 mars 2009/60).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 197; Breitschmid, Basler Kommentar, 3 e éd., 2006, nos 6 ss ad art. 311/312 CC, pp. 1634 et 1635). Selon la jurisprudence,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(Breitschmid, op. cit., n. 7 ad art. 311/312 CC, pp. 1634 et 1635; TF 5C.262/2003 du 8 avril 2004, résumé in RDT 2004 p. 252 et les références citées). Lorsque des mesures combinées (retrait du droit de garde et curatelle de représentation) sont pratiquement équivalentes au retrait de l'autorité parentale, il y a lieu d'y procéder formellement (Hegnauer, Grundriss des Kindesrechts und des übrigen Verwandtschaftsrechts, 5 e éd., Berne 1999, n. 27.41, p. 216; CTUT, 20 avril 2010/72). L'expression "se soucier sérieusement de l'enfant" au sens de l'art. 311 al. 1 ch. 2 CC doit être comprise de manière semblable à celle figurant à l'art. 265c ch. 2 CC (Breitschmid, op. cit., n. 8 ad art. 311/312 CC, p. 1635)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c. 2 et réf., JT 1989 I 559; ATF 118 II 21 c. 3d; FamPra.ch 2005, n. 23, p. 158). b) En l'espèce, on ne sait pas grand-chose d’autre que ce qui résulte des récits de Y.________ concernant les conditions de vie de B.G.________ jusqu’à son départ de la Guadeloupe, en septembre 2004. Or, sa neutralité est très loin d’être évidente puisqu’il a initié la présente procédure avec pour objectif le transfert en sa faveur du droit de garde et de l’autorité parentale. La cour de céans ne tiendra donc pas pour établi ses allégations unilatérales à ce sujet. Cela dit, il convient de constater, à l'instar de la justice de paix, que A.G.________ a laissé partir son enfant avec celui qui l’avait reconnu devant les autorités françaises, qu’elle n’a plus donné signe de vie pendant les six années qui ont suivi et que les quelques contacts qu'elle a eu l’an dernier avec son fils sont intervenus à l’initiative de Y.________, qui souhaitait faire régler la question de l’autorité parentale. De plus, aux dires de B.G.________, ces contacts n’avaient rien de maternel. A cela s’ajoute que A.G.________ n’a plus donné signe de vie depuis les quelques contacts de l’an dernier, que l’adresse qu’elle a indiquée est fictive et qu’elle n’a donné aucune suite aux tentatives du SPJ de l’atteindre au moyen du numéro de portable et de l’adresse e-mail qu’elle avait laissés. Il résulte de ce qui précède que l'on se trouve au-delà de l’incapacité d'une mère de s’occuper à satisfaction de son enfant. Il s’agit, dans les faits, d’un abandon pur et simple qui, vu la durée (plus de six ans), doit être considéré comme définitif nonobstant les quelques contacts de l’an dernier. Dès lors, l’intérêt de l’enfant, qui souffre de cette situation d’abandon et des incertitudes qu’elle engendre, commande que sa situation soit clarifiée. Partant, le retrait de l’autorité parentale de A.G.________ sur son fils B.G.________ est nécessaire et adéquat. 4. En conclusion, il y a lieu de retirer l'autorité parentale de A.G.________ sur son fils B.G.________ et de renvoyer le dossier à la Justice de paix du district de la Riviera – Pays-d'Enhaut pour qu'elle nomme un tuteur à l'enfant prénommé (art. 311 al. 2 CC). La nomination d'un tuteur ne pourra toutefois intervenir qu'une fois le présent jugement devenu définitif et exécutoire, soit trente jours après sa notification, le recours en matière civile au Tribunal fédéral étant ouvert et ayant effet suspensif (art. 72 al. 2 ch. 7 et 103 al. 2 let. a LTF, Loi du 17 juin 2005 sur le Tribunal fédéral, RS 173.110). Le présent jugement peut être rendu sans frais (art. 406 al. 2 CPC-VD). Par ces motifs, la Chambre des tutelles du Tribunal cantonal, statuant à huis clos, prononce : I. L'autorité parentale sur l'enfant B.G.________ est retirée à sa mère A.G.________. II. Le dossier est transmis à la Justice de paix du district de la Riviera – Pays-d'Enhaut pour qu'elle nomme un tuteur à l'enfant, dès jugement définitif et exécutoire. III. Le jugement est rendu sans frais. Le président :              La greffière : Du 23 mars 2011 Le dispositif de l'arrêt qui précède est communiqué par écrit aux intéressés. La greffière : Du L'arrêt qui précède, dont la rédaction a été approuvée à huis clos, est notifié à : ‑ A.G.________, ‑ Me Katia Pezuela (pour Y.________), ‑ Service de protection de la jeunesse,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