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82 vom 21. Februar 2011</w:t>
      </w:r>
    </w:p>
    <w:p>
      <w:r>
        <w:t>VD Tribunal cantonal, 2011-02-21, FR</w:t>
      </w:r>
    </w:p>
    <w:p>
      <w:r>
        <w:rPr>
          <w:b/>
        </w:rPr>
        <w:t xml:space="preserve">Quelle: </w:t>
      </w:r>
      <w:r>
        <w:t>https://mcp.opencaselaw.ch/entscheid/vd_findinfo_Jug___2011___82</w:t>
      </w:r>
    </w:p>
    <w:p>
      <w:r>
        <w:t>FR: VD_FINDINFO Jug / 2011 / 82 du 21 février 2011</w:t>
      </w:r>
    </w:p>
    <w:p>
      <w:r>
        <w:t>IT: VD_FINDINFO Jug / 2011 / 82 del 21 febbraio 2011</w:t>
      </w:r>
    </w:p>
    <w:p>
      <w:pPr>
        <w:pStyle w:val="Heading2"/>
      </w:pPr>
      <w:r>
        <w:t>Regeste</w:t>
      </w:r>
    </w:p>
    <w:p>
      <w:r>
        <w:t>FIXATION DE LA PEINE, COMMERCE DE STUPÉFIANTS | 47 CP, 19 ch. 2 let. a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déposé en temps utile et suffisamment motivé, l'appel est recevable (art. 399 al. 1 et 3 CPP). La contestation est limitée à la quotité de la peine prononcée.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estime que les premiers juges n'ont pas suffisamment tenu compte du fait qu'il n'a pas agi dans le cadre d'un réseau mais de manière autonome et que son trafic s'est limité à la région lausannoise. Il ajoute également que les premiers juges n'ont pas suffisamment tenu compte de sa situation personnelle de requérant d'asile débouté, coupé de ses racines et ne trouvant de moyens de survie que dans le trafic de stupéfiants. Il se réfère à un arrêt du Tribunal fédéral du 14 juillet 2008 (TF 6B_408/2008 c. 4.2).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 b) Dans un arrêt récent, le Tribunal fédéral a rappelé que la culpabilité de l'auteur doit être évaluée en fonction de tous les éléments objectifs pertinents, qui ont trait à l'acte lui-même, à savoir notamment la gravité de la lésion, le caractère répréhensible de l'acte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c. 1.2 du 17 février 2011 et les réf. citées; Nicolas Queloz/Valérie Humbert, in : Roth/Moreillon [éd.], Commentaire romand, Code pénal I, Bâle 2009, n. 7 ad art. 47 CP). Cet aspect de prévention spéciale ne permet toutefois que des corrections marginales, la peine devant toujours rester proportionnée à la faute (TF 6B_14/2007 du 17 avril 2007 c. 5.2). A propos de l'appréciation de la culpabilité propre aux infractions à la LStup, le Tribunal fédéral indique, dans l'arrêt cité par l'appelant, que "même si la quantité de la drogue écoulée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6B_408/2008 c. 4.2 et les références citées). On constate dès lors que contrairement à ce que soutient l'appelant, le Tribunal fédéral ne dit pas que le trafic est moins grave lorsqu'il est effectué de manière autonome plutôt que comme membre d'une organisation, mais seulement que dans ce dernier cas, la culpabilité varie en fonction du rôle et de la participation du délinquant.</w:t>
      </w:r>
    </w:p>
    <w:p>
      <w:r>
        <w:rPr>
          <w:b/>
        </w:rPr>
        <w:t>E. 4</w:t>
      </w:r>
    </w:p>
    <w:p>
      <w:r>
        <w:t>En l'occurrence, il est établi que l'appelant a œuvré en autonome, en assumant seul tous les rôles : acquisition, conditionnement, distribution, encaissement, blanchiment du butin par son exportation et des investissements immobiliers dans son pays d'origine. Son activité a été particulièrement longue, à savoir quatre années durant lesquelles il a approvisionné de nombreux clients en accomplissant de multiples actes punissables. Non seulement, il a pu en vivre, mais il a pu s'offrir une vie décrite comme festive par les premiers juges, qui ont indiqué qu'il menait grand train de vie, disposant de beaucoup de liquidités, jouant, prêtant de l'argent et sortant dans les cabarets (cf. jgt., p. 19). S'il n'a certes agi qu'en ville de Lausanne, il a néanmoins donné une certaine portée internationale à ses agissements en exportant les valeurs patrimoniales provenant de son trafic pour les investir dans son pays. De plus, il a manifestement fait preuve d'habilité et d'un certain sens de l'organisation puisqu'en dépit de la localisation restreinte de son trafic, il est parvenu à échapper à la police durant des années, usant de nombreux téléphones, d'identités d'emprunt, limitant ses sources d'approvisionnement, tenant une forme de comptabilité et sachant calculer les risques. Comme éléments à charge, les premiers juges ont retenu la grande ampleur du trafic auquel s'est adonné l'appelant, le fait qu'il a agi avec une certaine régularité et sur une longue durée, l'importante quantité de substance écoulée et enfin le fait qu'il a agi par métier et réalisé un bénéfice très important qui lui a permis d'améliorer sensiblement son quotidien. La cour de céans retient également à charge l'âge mûr de l'appelant et son statut de père de famille, capable de constater et de se représenter avec clarté l'impact sur la santé publique, la déchéance et la destruction que la dépendance aux stupéfiants peut provoquer chez de jeunes consommateurs. Il y a également lieu de tenir compte du concours entre l'infraction grave à la LStup et le blanchiment. A la décharge de l'appelant, les premiers juges ont retenu son absence d'antécédents, bien que le Tribunal fédéral ait considéré que sauf circonstances exceptionnelles, cet élément a un effet neutre sur la fixation de la peine et n'a donc plus à être pris en considération dans un sens atténuant (TF 6B_722/2010 précité, c. 2.3; ATF 136 IV 1 c. 2.6.4). Ils ont également pris en considération son bon comportement en détention ainsi que les excuses et les regrets formulés aux débats. On relève toutefois l'attitude de l'appelant, tant durant l'enquête qu'aux débats de première instance et d'appel, consistant jusqu'au bout à préserver ses intérêts en minimisant son trafic pour masquer l'importance de sa culpabilité. L'appelant n'a, au surplus, pas offert de rapatrier en Suisse les montants provenant du trafic qu'il a investis dans l'immobilier au Bangladesh pour qu'ils y soient confisqués, ce qui démontre qu'il envisage de jouir après sa peine du produit de ses crimes, qui représentent 300 fois le salaire moyen dans son pays. Compte tenu de ces éléments, la cour de céans considère que le repentir et les regrets affichés par l'appelant paraissent peu investis ou du moins dépourvus de toute intention de réparer ou de se priver de la récompense de ses actes criminels. Dans une moindre mesure, les premiers juges ont également tenu compte du fait que, consommateur de cocaïne, il n'a pas agi uniquement par appât du gain, mais également en partie pour assurer sa consommation personnelle (jgt., p. 24). Sur ce point encore, le tribunal de première instance s'est montré clément vis-à-vis de l'appelant, dont rien n'établit qu'il était toxicodépendant. Le fait qu'il ait été un consommateur occasionnel de cocaïne s'avère en principe insuffisant pour réduire la sanction (Corboz, Les infractions en droit suisse, tome II, 3 ème éd., Berne 2010, n° 117 ad. art. 19 LStup). Enfin, l'appelant ne peut se prévaloir des difficultés de sa vie de requérant d'asile en Europe, qui n'ont aucun lien avec son trafic. En effet, durant son parcours, il a surtout démontré des ressources pour prétendre faussement et obstinément mériter une protection étatique, alors que trois pays l'ont successivement éconduit. De plus, comme requérant d'asile débouté, il savait pouvoir prétendre à certaines prestations assurant sa survie, sans devoir se livrer au trafic de stupéfiants. S'il soutient maintenant vouloir retourner au Bangladesh, il a lui-même admis, lors des débats d'appel, qu'il aurait pu réaliser ce souhait depuis plusieurs années. S'il est resté en Suisse, c'est pour poursuivre et déployer son trafic, qui n'a cessé qu'au jour de son interpellation.</w:t>
      </w:r>
    </w:p>
    <w:p>
      <w:r>
        <w:rPr>
          <w:b/>
        </w:rPr>
        <w:t>E. 5</w:t>
      </w:r>
    </w:p>
    <w:p>
      <w:r>
        <w:t>En définitive, l'appel s'avère mal fondé, les premiers juges ayant pris en considération tous les éléments pertinents au sens de l'art. 47 CP pour fixer la peine à infliger à l'appelant, au vu de sa culpabilité. Le jugement rendu le 21 février 2011 par le Tribunal correctionnel de l'arrondissement de Lausanne doit donc être intégralement confirmé.</w:t>
      </w:r>
    </w:p>
    <w:p>
      <w:r>
        <w:rPr>
          <w:b/>
        </w:rPr>
        <w:t>E. 6</w:t>
      </w:r>
    </w:p>
    <w:p>
      <w:r>
        <w:t>Compte tenu de la liste des opérations effectuées en appel, il se justifie d'arrêter à 1'261 fr, TVA comprise, l'indemnité allouée au conseil d'office de l'appelant (cf. l’art. 135 al. 1 CPP; TF 2P.325/2003 du 6 juin 2006). Les frais de la procédure d'appel arrêtés en application des art. 21 et 23 TFJP (Tarif des frais judiciaires pénaux, RSV 312.03.1 ), doivent être mis à la charge de l'appelant qui succombe (art. 428 al. 1 CPP). La Cour d’appel pénale vu les articles 19 ch. 2 let. c LStup, 23 al. 1 LSEE, 115 al. 1 let. b LEtr, 49 ch. 1 CP, 135 al. 2, 405 et 408 CPP prononce: I. L'appel formé le 28 février 2011 par U.________ contre le jugement rendu le 21 février 2011 par le Tribunal correctionnel de l'arrondissement de Lausanne est rejeté et le jugement est intégralement confirmé selon le dispositif suivant : " I. CONSTATE que U.________ s'est rendu coupable de blanchiment d'argent, d'infraction grave et de contraventions à la loi fédérale sur les stupéfiants, d'infraction à la loi fédérale sur le séjour et l'établissement des étrangers et d'infraction à la loi fédérale sur les étrangers. II. CONDAMNE U.________ à une peine privative de liberté de 5 (cinq) ans, sous déduction de 441 (quatre cent quarante et un) jours de détention avant jugement. III. CONDAMNE U.________ à une peine pécuniaire de 90 (nonante) jours-amende, le montant du jour-amende étant fixé à CHF 10.- (dix francs). IV. CONDAMNE U.________ à une amende de CHF 300.- (trois cents francs) et DIT QU'à défaut de paiement de l'amende, la peine privative de liberté de substitution sera de 3 (trois) jours. V. ORDONNE le maintien en détention pour des motifs de sûreté de U.________. VI. ORDONNE le maintien au dossier à titre de pièces à conviction des objets séquestrés sous fiche n° 1787. VII. ORDONNE la dévolution à l'Etat des deux téléphones portables et des montants séquestrés sous fiche n° 1793. VIII. MET les frais de la cause par CHF 31'453.95, y compris l'indemnité allouée à son défenseur d'office par CHF 6'250.80, TVA comprise, à la charge de U.________. IX. DIT QUE le remboursement à l'Etat des montants alloués aux défenseurs d'office de U.________ ne sera dû que pour autant que sa situation financière le permette ." II. La détention subie depuis le jugement de première instance est déduite. III. Le maintien en détention de U.________ est ordonné à titre de sûreté. IV. Une indemnité de défenseur d'office pour la procédure d'appel de 1'261 fr. (mille deux cent soixante-et-un francs), TVA comprise, est allouée à Me Emmeline Puthod. V. Les frais de la procédure d'appel, par 3'171 fr. (trois mille cent septante et un francs) y compris l'indemnité allouée à son défenseur d'office, sont mis à la charge de U.________. VI. U.________ ne sera tenu de rembourser à l'Etat le montant de l'indemnité en faveur de son conseil d'office prévue au ch. IV ci-dessus que lorsque sa situation financière le permettra. Le président :               La greffière : Du 27 juin 2011 Le dispositif du jugement qui précède est communiqué à l'appelant et aux autres intéressés. La greffière : Du Le jugement qui précède, dont la rédaction a été approuvée à huis clos, est notifié, par l'envoi d'une copie complète, à : - Me Emmeline Puthod, avocate-stagiaire (pour U.________), - Ministère public central, une copie du dispositif est adressée à : - Mme la Présidente du Tribunal d'arrondissement de Lausanne, -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