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66 vom 24. Februar 2011</w:t>
      </w:r>
    </w:p>
    <w:p>
      <w:r>
        <w:t>VD Tribunal cantonal, 2011-02-24, FR</w:t>
      </w:r>
    </w:p>
    <w:p>
      <w:r>
        <w:rPr>
          <w:b/>
        </w:rPr>
        <w:t xml:space="preserve">Quelle: </w:t>
      </w:r>
      <w:r>
        <w:t>https://mcp.opencaselaw.ch/entscheid/vd_findinfo_Jug___2011___66</w:t>
      </w:r>
    </w:p>
    <w:p>
      <w:r>
        <w:t>FR: VD_FINDINFO Jug / 2011 / 66 du 24 février 2011</w:t>
      </w:r>
    </w:p>
    <w:p>
      <w:r>
        <w:t>IT: VD_FINDINFO Jug / 2011 / 66 del 24 febbraio 2011</w:t>
      </w:r>
    </w:p>
    <w:p>
      <w:pPr>
        <w:pStyle w:val="Heading2"/>
      </w:pPr>
      <w:r>
        <w:t>Regeste</w:t>
      </w:r>
    </w:p>
    <w:p>
      <w:r>
        <w:t>DEMANDE ADRESSÉE À L'AUTORITÉ, RÉCUSATION | 6 par. 1 CEDH, 30 al. 1 Cst.</w:t>
      </w:r>
    </w:p>
    <w:p>
      <w:pPr>
        <w:pStyle w:val="Heading2"/>
      </w:pPr>
      <w:r>
        <w:t>Erwägungen</w:t>
      </w:r>
    </w:p>
    <w:p>
      <w:r>
        <w:rPr>
          <w:b/>
        </w:rPr>
        <w:t>E. 1</w:t>
      </w:r>
    </w:p>
    <w:p>
      <w:r>
        <w:t>Par mesure de simplification, il convient de traiter de manière anticipée la demande de révision dans le cadre d'une procédure distincte de celle de l'appel, même si la révision du jugement faisant l'objet d'un appel, donc non entré en force, est en principe exclue. Selon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En l'occurrence, le requérant, qui a été jugé coupable de calomnie et condamné en conséquence, est admis à déposer une demande de révision au sens de l'art. 410 al. 1 let. a CPP (cf. Marc Rémy, Commentaire romand n. 4 ad art. 410 CPP).</w:t>
      </w:r>
    </w:p>
    <w:p>
      <w:r>
        <w:rPr>
          <w:b/>
        </w:rPr>
        <w:t>E. 2</w:t>
      </w:r>
    </w:p>
    <w:p>
      <w:r>
        <w:t>Aux termes de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L'examen préalable sert avant tout à constater si les motifs invoqués à l'appui de la demande de révision sont vraisemblables. Cet examen porte sur la recevabilité formelle de la demande mais également sur son bien-fondé. A ce titre les juges analysent la pertinence des moyens invoqués en se demandant notamment si les nova sont propres à faire douter du bien-fondé du jugement attaqué au point de rendre possible un acquittement ou du moins une modification sensible du jugement (cf. Marc Rémy, op. cit. n. 2 et 3 ad art. 412 CPP).</w:t>
      </w:r>
    </w:p>
    <w:p>
      <w:r>
        <w:rPr>
          <w:b/>
        </w:rPr>
        <w:t>E. 3</w:t>
      </w:r>
    </w:p>
    <w:p>
      <w:r>
        <w:t>J.________ soutient que l'on pouvait vraisemblablement douter de l'impartialité du premier juge, ce dernier ayant fonctionné comme greffier de l'ancien Tribunal administratif du canton de Vaud, dans une affaire fiscale le concernant, lui et ses parents, en 2006. Selon l'art. 30 al. 1 Cst. (Constitution fédérale de la Confédération suisse du 18 avril 1999, RS 101), dont la portée est de ce point de vue identique à celle de l'art. 6 par. 1 CEDH (Convention de sauvegarde des droits de l’homme et des libertés fondamentales du 4 novembre 1950, RS 0.101),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des doutes sur son impartialité et tend à éviter que des circonstances extérieures à la cause ne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Toutefois, seules des circonstances objectives doivent être prises en compte, les impressions purement individuelles des parties au procès n’étant pas décisives (ATF 134 I 20 c. 4.2 ; ATF 134 I 238 c.2.1 et les arrêts cités).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Le degré de preuve exigé correspond à la vraisemblance prépondérante. Cette réserve temporelle introduite par l'art. 58 al. 1 CPP, concrétise le principe de bonne foi des particuliers prévu par l'art.</w:t>
      </w:r>
    </w:p>
    <w:p>
      <w:r>
        <w:rPr>
          <w:b/>
        </w:rPr>
        <w:t>E. 5</w:t>
      </w:r>
    </w:p>
    <w:p>
      <w:r>
        <w:t>En définitive, la demande de révision présentée par J.________ est manifestement irrecevable. Vu l'issue de la cause, les frais de révision (art. 21, par renvoi de l'art. 22 du TFJP [Tarif des frais judiciaires pénaux, RSV 312.03.1 ]) sont mis à sa charge et il n'y a pas lieu de lui allouer de dépens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