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61 vom 13. April 2011</w:t>
      </w:r>
    </w:p>
    <w:p>
      <w:r>
        <w:t>VD Tribunal cantonal, 2011-04-13, FR</w:t>
      </w:r>
    </w:p>
    <w:p>
      <w:r>
        <w:rPr>
          <w:b/>
        </w:rPr>
        <w:t xml:space="preserve">Quelle: </w:t>
      </w:r>
      <w:r>
        <w:t>https://mcp.opencaselaw.ch/entscheid/vd_findinfo_Jug___2011___61</w:t>
      </w:r>
    </w:p>
    <w:p>
      <w:r>
        <w:t>FR: VD_FINDINFO Jug / 2011 / 61 du 13 avril 2011</w:t>
      </w:r>
    </w:p>
    <w:p>
      <w:r>
        <w:t>IT: VD_FINDINFO Jug / 2011 / 61 del 13 aprile 2011</w:t>
      </w:r>
    </w:p>
    <w:p>
      <w:pPr>
        <w:pStyle w:val="Heading2"/>
      </w:pPr>
      <w:r>
        <w:t>Regeste</w:t>
      </w:r>
    </w:p>
    <w:p>
      <w:r>
        <w:t>CONSULTATION DU DOSSIER | 102 CPP (CH), 393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(Chapuis, in: Kuhn/Jeanneret (éd.), Commentaire romand, Code de procédure pénale suisse, Bâle 2011, n. 1 ad art. 102 CPP; Schmutz, in:Niggli/Heer/Wiprächtiger (éd.), Basler Kommentar, Schweizerische Strafprozessordnung, Jugendstrafprozessordnung, Bâle 2011, n. 6 ad art. 102 CPP; Stephenson/Thiriet, in: Niggli/Heer/Wiprächtiger (éd.), Basler Kommentar, Schweizerische Strafprozessordnung, Jugendstrafprozessordnung, Bâle 2011, n. 10 ad art. 393 CPP; Rémy, in: Kuhn/Jeanneret (éd.), Commentaire romand, Code de procédure pénale suisse, Bâle 2011, n. 10 ad art. 393 CPP). Ce recours s’exerce auprès de l’autorité de recours (cf. art. 20 al. 1 let. b CPP), qui, dans le canton de Vaud, est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En l’espèce, il y a donc lieu d’entrer en matière sur le recours, qui satisfait aux conditions de forme posées par l’art. 385 al. 1 CPP et a été interjeté en temps utile, devant l’autorité compétente, par le prévenu qui a qualité pour recourir (art. 382 al. 1 CPP).</w:t>
      </w:r>
    </w:p>
    <w:p>
      <w:r>
        <w:rPr>
          <w:b/>
        </w:rPr>
        <w:t>E. 2</w:t>
      </w:r>
    </w:p>
    <w:p>
      <w:r>
        <w:t>a) Les parties peuvent consulter le dossier d’une procédure pénale pendante, au plus tard après la première audition du prévenu et l’administration des preuves principales par le Ministère public, l’art. 108 CPP étant réservé (art. 101 al. 1 CPP). Selon l’art. 102 al. 1 CPP, la direction de la procédure statue sur la consultation des dossiers; elle prend les mesures nécessaires pour prévenir les abus et les retards et pour protéger les intérêts légitimes au maintien du secret. L’art. 102 al. 2 CPP prévoit que les dossiers sont consultés au siège de l’autorité pénale concernée ou, par voie d’entraide judiciaire, au siège d’une autre autorité pénale. Il précise encore qu'en règle générale, ils sont remis à d’autres autorités ainsi qu’aux conseils juridiques des parties. b) L’art. 102 al. 2 CPP ne fait que reprendre la règle largement répandue dans les anciens codes de procédure cantonaux voulant que d’ordinaire, les dossiers soient consultés au siége de l’autorité pénale concernée et que seuls les conseils juridiques des parties et les autres autorités aient le droit de se faire notifier les dossiers (Message du Conseil fédéral relatif à l’unification du droit de la procédure pénale du 21 décembre 2005, FF 2006 II 1057 ss, spéc. 1141; Chapuis, op. cit., n. 2 ad art. 102 CPP; Schmutz, op. cit., n. 4 ad art. 102 CPP). Rien n’empêche toutefois l’autorité pénale concernée de faire parvenir le dossier à d’autres personnes, par exemple aux conseils juridiques d’autres participants à la procédure ou aux parties elles-mêmes, dans la mesure où il s’agit de personnes dignes de confiance (Message précité, spéc. 1141; Schmutz, op. cit., n. 4 ad art. 102 CPP; Chapuis, op. cit., n. 2 ad art. 102 CPP). En outre, il est possible de déroger au principe selon lequel les dossiers doivent être remis à d’autres autorités ainsi qu’aux conseils juridiques des parties, par exemple lorsqu’ils sont très volumineux ou que l’autorité de poursuite pénale ou encore le tribunal en a simultanément un impérieux besoin, notamment dans les cas de détention où les pièces essentielles du dossier sont envoyées au tribunal des mesures de contrainte (Message précité, spéc. 1141; Chapuis, op. cit., n. 2 ad art. 102 CPP; Schmutz, op. cit., n. 4 ad art. 102 CPP). c) En l’espèce, le procureur invoque une pratique constante de l'ex-Office du Juge d'instruction cantonal, devenu la Division entraide, criminalité économique et informatique du Ministère public central qui consiste à imposer la consultation du dossier pénal à son siège lorsque celui-ci est volumineux, c'est-à-dire lorsqu'il est constitué d'un classeur au moins. Toutefois, la doctrine précitée précise qu'il est possible de déroger au principe selon lequel les dossiers doivent être remis au conseil juridique des parties notamment lorsqu'ils sont très volumineux. L'on ne saurait dès lors considérer qu'un dossier constitué de trois classeurs, comme en l'espèce, soit très volumineux. Partant, la consultation est possible à l'étude du mandataire du recourant. Il convient donc d’admettre le recours et de réformer la décision prise le 11 mars 2011 par le procureur en ce sens que le conseil juridique du recourant est autorisé à emmener le dossier de la cause pour 48 heures à son étude, sous sa responsabilité, pour le consulter.</w:t>
      </w:r>
    </w:p>
    <w:p>
      <w:r>
        <w:rPr>
          <w:b/>
        </w:rPr>
        <w:t>E. 3</w:t>
      </w:r>
    </w:p>
    <w:p>
      <w:r>
        <w:t>Vu l’issue du recours, les frais de la procédure de recours, constitués en l’espèce de l’émolument d’arrêt (art. 422 al. 1 CPP), par 660 fr. (art. 20 al. 1 TFJP [Tarif des frais judiciaires pénaux du 28 septembre 2010, RSV 312.03.1]) et des frais imputables à la défense d’office (art. 422 al. 1 et 2 let. a CPP), fixés à 360 fr. plus la TVA par 28 fr. 80, seront laissés à la charge de l’Etat (art. 428 al. 1 CPP). Par ces motifs, la Chambre des recours pénale, statuant à huis clos, prononce : I. Le recours est admis. II. La décision attaquée est réformée en ce sens que le conseil juridique de M.________ est autorisé à emmener le dossier de la cause pour 48 heures à son étude, sous sa responsabilité, pour le consulter. III. L'indemnité allouée au défenseur d'office de M.________ est fixée à 388 fr. 80 (trois cent huitante-huit francs et huitante centimes). IV. Les frais du présent arrêt, par 660 fr. (six cent soixante francs), ainsi que l'indemnité due au défenseur d'office de M.________, par 388 fr. 80 (trois cent huitante-huit francs et huitante centimes), sont laissés à la charge de l'Etat. V. Le présent arrêt est exécutoire. Le président :               La greffière : Du L'arrêt qui précède, dont la rédaction a été approuvée à huis clos, est notifié, par l'envoi d'une copie complète, à : - M. Marc-Aurèle Vollenweider, avocat (pour M.________),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