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51 vom 4. April 2011</w:t>
      </w:r>
    </w:p>
    <w:p>
      <w:r>
        <w:t>VD Tribunal cantonal, 2011-04-04, FR</w:t>
      </w:r>
    </w:p>
    <w:p>
      <w:r>
        <w:rPr>
          <w:b/>
        </w:rPr>
        <w:t xml:space="preserve">Quelle: </w:t>
      </w:r>
      <w:r>
        <w:t>https://mcp.opencaselaw.ch/entscheid/vd_findinfo_Jug___2011___51</w:t>
      </w:r>
    </w:p>
    <w:p>
      <w:r>
        <w:t>FR: VD_FINDINFO Jug / 2011 / 51 du 4 avril 2011</w:t>
      </w:r>
    </w:p>
    <w:p>
      <w:r>
        <w:t>IT: VD_FINDINFO Jug / 2011 / 51 del 4 aprile 2011</w:t>
      </w:r>
    </w:p>
    <w:p>
      <w:pPr>
        <w:pStyle w:val="Heading2"/>
      </w:pPr>
      <w:r>
        <w:t>Regeste</w:t>
      </w:r>
    </w:p>
    <w:p>
      <w:r>
        <w:t>PRÉVOYANCE PROFESSIONNELLE, RENTE D'INVALIDITÉ, FONDATION DE PRÉVOYANCE, FONDATION DE PRÉVOYANCE EN FAVEUR DU PERSONNEL, INSTITUTION DE PRÉVOYANCE, PRESTATION DE PRÉVOYANCE, RÈGLEMENT D'ASSURANCE, DEGRÉ DE L'INCAPACITÉ DE TRAVAIL, INCAPACITÉ DE TRAVAIL, ÉVALUATION DE L'INCAPACITÉ DE TRAVAIL, DÉCISION, RECONNAISSANCE DE LA DÉCISION, DROIT À LA PRESTATION D'ASSURANCE | 73 LPP</w:t>
      </w:r>
    </w:p>
    <w:p>
      <w:pPr>
        <w:pStyle w:val="Heading2"/>
      </w:pPr>
      <w:r>
        <w:t>Erwägungen</w:t>
      </w:r>
    </w:p>
    <w:p>
      <w:r>
        <w:rPr>
          <w:b/>
        </w:rPr>
        <w:t>E. 4</w:t>
      </w:r>
    </w:p>
    <w:p>
      <w:r>
        <w:t>a) La défenderesse fait valoir le caractère insoutenable de la décision de l’OAI. b) Selon la jurisprudence, si une institution de prévoyance reprend – explicitement ou par renvoi (comme en l'espèce, cf. art. B.4 al. 1 du règlement de la caisse de prévoyance U.________ ) – la définition de l'invalidité de l'AI, elle est en principe liée, lors de la survenance du fait assuré, par l'estimation de l'invalidité par les organes de l'assurance-invalidité, sauf si cette évaluation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dans la mesure où l'office AI a dûment notifié sa décision de rente aux institutions de prévoyance entrant en considération. En revanche, si l'assureur LPP, qui dispose d'un droit de recours propre dans les procédures régies par la loi fédérale du 19 juin 1959 sur l’assurance-invalidité (LAI, RS 831.20), n'est pas intégré à la procédure, il n'est pas lié par l'évaluation de l'invalidité (principe, taux et début du droit) à laquelle ont procédé les organes de l'assurance-invalidité (ATF 129 V 150 consid. 2.5, 73 consid. 4 ; TF du 26 juin 2008 consid. 2.3 et les arrêts cités). c) En l’espèce, il ne résulte pas du dossier que la défenderesse aurait été intégrée dans la procédure AI, en particulier par la notification de la décision. Cela étant, la défenderesse soutient que la décision de l’OAI est insoutenable dès lors que la demanderesse aurait travaillé à 60% au minimum en 2003. Il ne serait donc pas vraisemblable que son degré d’invalidité ait atteint 53% en 2003 et 2004. La demanderesse rétorque que dans les faits, elle ne travaillait pas pour la conciergerie, assumée uniquement par son mari, et que ce dernier l’avait également remplacée dans les activités de nettoyage chez R.________ SA. Ces assertions ont été confirmées par l’intéressé lors de son audition du 20 novembre 2009, lequel a déclaré qu’il effectuait 80% des travaux de nettoyage jusqu’à l’hospitalisation de son épouse, ainsi que par l’attestation de R.________ SA produite par la demanderesse. Or, le degré d’invalidité a été calculé par l’OAI sur un salaire de valide de 74'387 fr. en 2004, soit 34’710 fr. au Centre Y.________, 6'760 fr. comme concierge, 15'275 fr. chez R.________ SA et 17'642 fr. au foyer X.________. En réalité, si l’on tient compte pour 2004 de l’activité exercée au Centre Y.________, au foyer X.________ et à 20% chez R.________ SA, on obtient un montant total de 55'407 fr. (34’710 fr. + 17'642 fr. + 3'055 fr.). La demanderesse ayant par ailleurs augmenté son taux d’activité au Centre Y.________ au début du mois de juillet 2003, elle ne saurait invoquer une incapacité de travail avant son hospitalisation au CHUV. Cet établissement n’atteste d’ailleurs aucune incapacité de travail avant le mois d’octobre 2003. En procédant au calcul du degré d’invalidité en 2004 avec le montant du salaire réellement obtenu par la demanderesse, on obtient ainsi un degré d’invalidité de 37%, soit inférieur à celui ouvrant le droit à une rente d’invalidité. Il s’ensuit que la décision de l’OAI est insoutenable, de sorte qu’elle ne lie pas la défenderesse, conformément à la jurisprudence précitée.</w:t>
      </w:r>
    </w:p>
    <w:p>
      <w:r>
        <w:rPr>
          <w:b/>
        </w:rPr>
        <w:t>E. 5</w:t>
      </w:r>
    </w:p>
    <w:p>
      <w:r>
        <w:t>Au vu de ce qui précède, les prétentions financières de la demanderesse à l'encontre de la défenderesse apparaissent infondées, sa demande devant dès lors être rejetée. Le présent jugement doit être rendu sans frais ni dépens (art. 73 al. 2 LPP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