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 vom 15. April 2011</w:t>
      </w:r>
    </w:p>
    <w:p>
      <w:r>
        <w:t>VD Tribunal cantonal, 2011-04-15, FR</w:t>
      </w:r>
    </w:p>
    <w:p>
      <w:r>
        <w:rPr>
          <w:b/>
        </w:rPr>
        <w:t xml:space="preserve">Quelle: </w:t>
      </w:r>
      <w:r>
        <w:t>https://mcp.opencaselaw.ch/entscheid/vd_findinfo_Jug___2011___5</w:t>
      </w:r>
    </w:p>
    <w:p>
      <w:r>
        <w:t>FR: VD_FINDINFO Jug / 2011 / 5 du 15 avril 2011</w:t>
      </w:r>
    </w:p>
    <w:p>
      <w:r>
        <w:t>IT: VD_FINDINFO Jug / 2011 / 5 del 15 aprile 2011</w:t>
      </w:r>
    </w:p>
    <w:p>
      <w:pPr>
        <w:pStyle w:val="Heading2"/>
      </w:pPr>
      <w:r>
        <w:t>Regeste</w:t>
      </w:r>
    </w:p>
    <w:p>
      <w:r>
        <w:t>BREVET D'INVENTION, INVENTION DÉPENDANTE, LOI FÉDÉRALE SUR LES BREVETS D'INVENTION, INVENTION, TRAVAILLEUR, CONVENTION SUR LE BREVET EUROPÉEN | 321e CO, 329a CO, 329d al. 2 CO, 329d CO, 336 al. 1 let. d CO, 336 CO</w:t>
      </w:r>
    </w:p>
    <w:p>
      <w:pPr>
        <w:pStyle w:val="Heading2"/>
      </w:pPr>
      <w:r>
        <w:t>Erwägungen</w:t>
      </w:r>
    </w:p>
    <w:p>
      <w:r>
        <w:rPr>
          <w:b/>
        </w:rPr>
        <w:t>E. 3</w:t>
      </w:r>
    </w:p>
    <w:p>
      <w:r>
        <w:t>et 8 divulguent sans équivoque l'utilisation d'une lame pour l'essuyage du cylindre d'encrage: dans les autres croquis, soit le système d'essuyage n'est pas indiqué, soit il l'est d'une manière qui ne permet pas de constater qu'il s'agit d'une lame d'essuyage. Les sept variantes dessinées par le demandeur ont encore des caractéristiques différentes s'agissant de la nature du système d'encrage pour le recto, à savoir avec ou sans cylindre collecteur, de la présence ou de l'absence d'un système d'essuyage au contact du cylindre porte-plaque, de la manière avec laquelle la surface d'encrage est encrée – deux possibilités sont présentées, à savoir un système de spray ou une lame coopérant avec la surface du cylindre d'encrage –, du nombre de cylindres d'encrage pour le recto et le verso et du nombre de cylindres d'encrage par cylindre polychablon. En outre, les dessins n os 1, 2, 3 et</w:t>
      </w:r>
    </w:p>
    <w:p>
      <w:r>
        <w:rPr>
          <w:b/>
        </w:rPr>
        <w:t>E. 8</w:t>
      </w:r>
    </w:p>
    <w:p>
      <w:r>
        <w:t>février 2007. Le 3 juillet 2009, le demandeur a déposé une réplique après réforme, apportant à ses conclusions les modifications suivantes: "La conclusion I est modifiée comme suit: « Les droits relatifs à l’invention qui fait l’objet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exclusivement, subsidiairement en commun à A.X.________ et à K.-T.________ SA, plus subsidiairement à A.X.________ pour la part que justice dira. Subsidiairement à la conclusion I ci-dessus Les droits relatifs aux inventions et à leurs formes spéciales d’exécution revendiquées dans les revendications 1, 4 à 6, 14 et 17 originales et dans les revendications 1 et 2 modifiées (ou toute autre revendication selon ce que justice dira)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exclusivement, subsidiairement en commun à A.X.________ et à K.-T.________ SA, plus subsidiairement à A.X.________ pour la part que justice dira ». La conclusion I bis est modifiée comme suit: « Le droit à l’obtention des brevets européens portant sur les inventions faisant I‘objet des demandes de brevet européen [...] et [...], correspondant à la demande [...], appartient à A.X.________ exclusivement, subsidiairement en commun à A.X.________ et à K.-T.________ SA, plus subsidiairement à A.X.________ pour la part que justice dira. Subsidiairement à la conclusion Ibis ci-dessus Le droit à l’obtention des brevets européens portant sur les inventions et leurs formes spéciales d’exécution revendiquées dans les revendications 1, 4, 7, 8, 12 et 13 (ou toute autre revendication selon ce que justice dira) de la demande de brevet européen [...] et dans les revendications 1, 4, 12 et 13 (ou toute autre revendication selon ce que justice dira) de la demande de brevet européen [...] appartient à A.X.________ exclusivement, subsidiairement en commun à A.X.________ et à K.-T.________ SA, plus subsidiairement à A.X.________ pour la part que justice dira ». La conclusion III est modifiée comme suit: « Interdiction est faite à K.-T.________ SA, sous la menace de la peine prévue à l’art 292 du Code pénal pour insoumission à une décision de l’autorité, d’utiliser à titre professionnel, notamment de fabriquer ou faire fabriquer, offrir, mettre en circulation, importer ou exporter des machines d’impression comportant un système d’impression dit sans essuyage, caractérisé en ce que (a) l‘encre est déposée sur un premier cylindre gravé (cylindre encreur), qui présente un profil femelle, (b) l’encre excédentaire est essuyée avec une lame, (c) l’encre est ensuite déposée sur un cylindre intermédiaire (appelé “polychablon") dans la surface profilée (mâle) correspondant aux gravures du cylindre encreur initial, et (d) l’encre est ensuite transférée du cylindre intermédiaire polychablon dans les gravures des plaquettes Intaglio du cylindre d'impression (profil femelle), soit directement, soit indirectement au moyen d'un cylindre collecteur »." Aux termes de sa duplique complémentaire déposée le 31 août 2009, la défenderesse a conclu, avec suite de frais et dépens, au rejet des conclusions du demandeur telles que modifiées dans la réplique complémentaire après réforme. Le 22 octobre 2010, la défenderesse a déposé un mémoire de droit dans lequel elle a confirmé, avec dépens, les conclusions libératoires prises dans ses précédentes écritures. Le demandeur a déposé un mémoire de droit le 25 octobre 2010. Dans le corps de cette écriture, il a consacré à ses conclusions les lignes qui suivent: " V. Rémunération spéciale pour les inventions de service (…) A cet égard, tout porte à croire que le demandeur aurait dû recevoir un salaire comparable à celui de M. O.________, en tenant compte de l'ancienneté mais aussi de la performance du travailleur. Ainsi, on doit considérer que son salaire aurait dû être sensiblement supérieur dès 1988, pour atteindre en 2001 un montant comparable à celui qui était versé à M. O.________ (160'300 en 1989, ce qui représente, avec une inflation moyenne de 2 % par an, un montant de fr. 199'500 en 2001). La différence de salaire représente ainsi environ fr. 60'000.- par an (sur quatorze ans, ce qui donnerait une indemnité spéciale de fr. 840'000.-). Cette somme peut paraître élevée en soi, mais si on la rapporte au nombre de brevets (sept), elle correspond seulement à une indemnité spéciale de fr. 120'000.- par brevet, soit un montant qui est très loin des sommes qui sont usuellement déboursées pour l'acquisition des droits sur une invention. (…) VIII. L'invention "sans essuyage" et le brevet déposé par la défenderesse (…) Si la Cour suit le raisonnement présenté ci-dessus, les conclusions peuvent être accueillies sous la forme suivante: I. Les droits relatifs à l‘invention définie dans la revendication 2 modifiée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et les droits relatifs aux inventions et à leurs formes spéciales d’exécution revendiquées dans les revendications 1, 4 à 6, 14 et 17 originales et dans la revendications (sic) 1 modifiée de la demande de brevet déposée le 5 janvier 2005 auprès de l‘Organisation mondiale de la propriété intellectuelle par K.-T.________ SA et publiée sous numéro [...], notamment le droit à la délivrance des brevets nationaux ou régionaux qui en découlent et les droits sur les brevets délivrés, appartiennent à A.X.________ pour deux tiers. I bis. Le droit à l‘obtention des brevets européens portant sur les inventions et leurs formes spéciales d’exécution revendiquées dans les revendications 1, 4, 7, 8, 12 et 13 de la demande de brevet européen [...] et dans les revendications 1, 4, 12 et 13 de la demande de brevet européen [...] appartient à A.X.________ pour deux tiers. Si toutefois la Cour devait suivre l’avis de l’expert, les conclusions subsidiaires doivent alors être accueillies sous la forme suivante: I. Les droits relatifs aux inventions et à leurs formes spéciales d’exécution revendiquées dans les revendications 1, 4 à 6, 14 et 17 originales et dans les revendications 1 et 2 modifiées de la demande de brevet déposée le 5 janvier 2005 auprès de I‘Organisation mondiale de la propriété intellectuelle par K.-T.________ SA et publiée sous numéro [...], notamment le droit à la délivrance des brevets nationaux ou régionaux qui en découlent et les droits sur les brevets délivrés, appartiennent à A.X.________ pour un tiers. I bis. Le droit à l’obtention des brevets européens portant sur les inventions et leurs formes spéciales d’exécution revendiquées dans les revendications 1, 4, 7, 8, 12 et 13 de la demande de brevet européen [...] et dans les revendications 1, 4, 12 et 13 de la demande de brevet européen [...] appartient à A.X.________ pour un tiers. (…) Selon l'art. 33 al. 2 LBI, lorsque les droits appartiennent à plusieurs, chaque ayant droit ne peut les exercer qu'avec le consentement des autres. Par conséquent, le droit d'exploiter l'invention suppose le consentement du demandeur. La conclusion II doit donc être admise telle quelle, ou cas échéant sous la forme réduite suivante: II. Interdiction est faite à K.-T.________ SA, sous la menace de la peine prévue à l’art. 292 du Code pénal pour insoumission à une décision de l’autorité, d’utiliser de quelque manière que ce soit les inventions et leurs formes spéciales d’exécution revendiquées dans les revendications 1, 4 à 6, 14 et 17 originales et dans les revendications 1 et 2 modifiées de la demande de brevet déposée le 5 janvier 2005 auprès de l’Organisation mondiale de la propriété intellectuelle par K.-T.________ SA et publiée sous numéro [...], notamment de fabriquer ou de faire fabriquer des machines en application des dites inventions, ainsi que de promouvoir, de mettre en vente, d’importer, d’exporter ou de distribuer de telles machines. (…) XI. Résumé des conclusions du demandeur Les conclusions subsidiaires I et I bis et II doivent être accueillies dans la mesure indiquée plus haut (ch. VIII). La conclusion III doit être accueillie telle que modifiée dans la réplique complémentaire après réforme. La conclusion IV doit être admis telle quelle. La conclusion V doit être admise à hauteur de ce qui est indiqué sous ch. V ci-dessus. Les conclusions VI à IX doivent être admises telles quelles. (…)" En outre, le demandeur a confirmé ses conclusions tendant au rejet des conclusions reconventionnelles. En droit: I. Le Code de procédure civile suisse du 19 décembre 2008 (CPC; RS 272) est entré en vigueur le 1 er janvier 2011 (RO 2010 1835). Les procédures en cours à cette date demeurent toutefois régies par l'ancien droit jusqu'à la clôture de l'instance (art. 404 al. 1 CPC). Il en va de même des règles cantonales de compétence matérielle (art. 166 al. 1 du Code de droit privé judiciaire vaudois du 12 janvier 2010 [CDPJ, RSV 211.01]). En revanche, selon l'art. 404 al. 2 CPC, la compétence à raison du lieu est régie par le nouveau droit, sous réserve de celle conférée en application de l'ancien droit, qui est maintenue. II. a)              Le demandeur élève des prétentions ressortissant pour l'essentiel à deux catégories juridiques distinctes: il revendique, d'une part, la titularité d'une partie des droits relatifs à l'invention définie dans la demande de brevet internationale n o [...] déposée par son employeur, ainsi que le prononcé d'une série d'interdictions qu'il déduit des droits exclusifs qu'il invoque (chefs de conclusions n os I, Ibis, II, III, IV et XI); d'autre part, il réclame le paiement de diverses sommes d'argent sur la base du contrat de travail conclu avec la défenderesse (chefs de conclusions n os V, VI, VII, VIII, IX et X). b)              Le Traité de coopération en matière de brevets, conclu à Washington le 19 juin 1970 (PCT, RS 0.232.141.1), sur lequel se fonde la demande de brevet internationale précitée, a pour objet l'introduction d'une procédure internationale de dépôt des inventions. Il se limite à une rationalisation de la procédure et n'empiète pas, en principe, sur la souveraineté nationale des offices en matière d'examen et de délivrance des brevets, ni sur le droit matériel des Etats contractants (Message du Conseil fédéral du 24 mars 1976, FF 1976 II 1, spéc. pp. 8 s.). En particulier, il ne contient aucune disposition régissant la compétence pour trancher les litiges portant sur la titularité du droit au brevet, contrairement au système mis en place par les Etats parties à la Convention sur le brevet européen. c)              aa) La Convention sur le brevet européen, conclue à Munich le 5 octobre 1973 (CBE 1973; RO 1977 1711), a été révisée dans cette même ville le 29 novembre 2000 et est entrée en vigueur pour la Suisse, dans sa nouvelle teneur, le 13 décembre 2007 (CBE 2000; RO 2007 6485; RS 0.232.142.2). Selon l'art. 7 al. 1 de l'acte de révision, le texte révisé de la convention s'applique à toutes les demandes de brevet européen déposées après son entrée en vigueur et aux brevets européen délivrés sur la base de ces demandes. Il ne s'applique pas aux brevets européens déjà délivrés lors de son entrée en vigueur, ni aux demandes de brevet européen qui sont pendantes à cette date, à moins que le conseil d'administration de l'Organisation européenne des brevets n'en dispose autrement. Dans une décision du 28 juin 2001, entrée en vigueur pour la Suisse en même temps que la CBE 2000, cet organe a adopté un certain nombre de dispositions transitoires (RO 2007 7133). bb) La CBE 1973 s'applique au cas d'espèce, dès lors que les demandes de brevets européens déposées par la défenderesse ont été formulées avant le 13 décembre 2007, sous réserve des dispositions contraires prises par le conseil d'administration de l'Organisation européenne des brevets. cc) Selon l'art. 4 du Protocole sur la compétence judiciaire et la reconnaissance de décisions portant sur le droit à l'obtention du brevet européen, conclu à Munich le 5 octobre 1973 (Protocole sur la reconnaissance, RS 0.232.142.22) – qui subsiste sans changement sous l'empire de la CBE 2000 (art. 164 al. 1 CBE 2000) –, les juridictions de l'Etat contractant selon le droit duquel est déterminé le droit au brevet européen conformément à l'art. 60 al. 1 CBE sont exclusivement compétentes pour connaître des actions opposant l'employeur et l'employé, sous réserve d'une prorogation de for, dans l'hypothèse où le droit national qui régit le contrat de travail l'autoriserait (art. 5 al. 2 du Protocole sur la reconnaissance). L'art. 60 al. 1 CBE 1973 – que la révision du 29 novembre 2000 a laissé inchangé – se borne à arbitrer le conflit de lois comme suit: le droit au brevet européen est défini selon le droit de l'Etat dans lequel l'employé exerce son activité principale; si cet Etat ne peut être déterminé, le droit applicable est celui de l'Etat dans lequel se trouve l'établissement de l'employeur auquel l'employé est attaché (art. 60 al. 1 2 e ph. CBE 1973; Melullis, Europäisches Patentübereinkommen, Munich 2002, nn. 22 s. ad art. 60 CBE; Rehbinder, Berner Kommentar, Berne 1992, n. 3 ad art. 332 CO; Mathély, Le droit européen des brevets d'inventions, Paris 1978, p. 159). Il s'ensuit que les tribunaux de l'Etat où l'employé exerce son activité principale sont – sauf prorogation de for – exclusivement compétents pour connaître des litiges opposant l'employeur et l'employé au sujet de la titularité du droit à la délivrance du brevet européen. d)              Lorsque la délivrance d'un brevet autre qu'européen est en cause, la compétence internationale se détermine conformément au droit international privé de l'Etat concerné (Pedrazzini/Hilti, Europäisches und schweizerisches Patent- und Patentprozessrecht, 3 e éd. Berne 2008, p. 488). Pour la Suisse, l'art. 16 ch. 4 CL (Convention concernant la compétence judiciaire et l'exécution des décisions en matière civile et commerciale, conclue à Lugano le 16 septembre 1988, RS 0.275.11; le 30 octobre 2007, la CL a fait l'objet d'une révision aboutissant à un nouveau texte [RS 0.275.12], qui ne s'applique toutefois pas aux actions intentées avant son entrée en vigueur [art. 63 ch. 1 CL], laquelle est intervenue pour la Suisse le 1 er janvier 2011) prévoit que les juridictions de l'Etat contractant sur le territoire duquel le dépôt d'une demande a été effectué sont exclusivement compétentes en matière d'inscription ou de validité des brevets. Néanmoins, les actions concernant la titularité d'un droit de propriété intellectuelle échappent à cette disposition lorsque les relations juridiques entre parties apparaissent au premier plan du litige, reléguant au second plan le bien-fondé de la modification ou de la radiation d'une inscription au registre, comme dans le cas d'un conflit opposant un employé et son employeur au sujet d'une invention: en pareille hypothèse, en effet, la compétence se détermine conformément aux art. 2 et 5 ch. 1 CL (ATF 132 III 579 c. 3.1 à 3.5; Blumer, Kommentar zum Lugano-Übereinkommen, Berne 2008, n. 24 ad art. 16 ch. 4 CL; Donzallaz, La Convention de Lugano, vol. III, Berne 1998, n o 6344). L'art. 109 al. 1 LDIP (loi du 18 décembre 1987 sur le droit international privé, RS 291) – qui exclut également la compétence du juge suisse lorsque sont en jeu des droits de propriété intellectuelle qui doivent être enregistrés à l'étranger (Locher, Zum Zivilprozess im Immaterialgüterrecht in der Schweiz: Zuständigkeit, Forum Running, Schiedsfähigkeit – zugleich zur geplanter Revision von Art. 109 IPRG, in sic! 2006 p. 242, p. 249; Dutoit, Droit international privé suisse, 4 e éd., Bâle/Genève/Munich 2005, n. 9 ad art. 109 LDIP) – doit recevoir la même interprétation restrictive (Dutoit, Droit international privé suisse. Supplément à la 4 e édition, Bâle/Genève/Munich 2011, n. 3 ad art. 109 LDIP). Partant, les tribunaux suisses du domicile du défendeur ou du lieu dans lequel le travailleur accomplit habituellement son travail, voire ceux du domicile ou de la résidence habituelle du travailleur si celui-ci prend l'initiative du procès, sont compétents pour connaître des contestations divisant l'employeur d'avec son employé au sujet d'inventions que celui-ci aurait réalisées (art. 2 al. 1 et 5 ch. 1 CL; art. 115 al. 1 et 2 LDIP), même si seraient revendiqués des droits devant être enregistrés dans un Etat non partie à la CBE. e)              Au vu de ce qui précède, les tribunaux suisses sont compétents, conformément à l'art. 4 du Protocole sur la reconnaissance, pour connaître des revendications du demandeur, en tant qu'elles concernent la délivrance des brevets européens dont la défenderesse a formé la demande (chef de conclusions n o I bis [principal et subsidiaire]), dès lors qu'il est établi que le demandeur exerçait son activité au service de celle-ci à [...]. Par ailleurs, les art. 16 ch. 4 CL et 109 al. 1 LDIP ne font pas obstacle à la revendication en Suisse, sur la base de la demande de brevet internationale n o [...], des droits qui devraient être enregistrés dans des pays qui ne sont pas parties à la CBE (chef de conclusions n o I [principal et subsidiaire]), puisque les relations de travail qu'ont nouées les parties apparaissent au premier plan. La défenderesse ayant son siège en Suisse les juridictions suisses seront donc compétentes pour connaître du litige y relatif, conformément aux art. 2 CL et 115 al. 1 LDIP. Enfin, sur le plan local, dès lors que la défenderesse a son siège sur le territoire du canton, les tribunaux vaudois sont compétents, tant pour juger des revendications du demandeur en lien avec les demandes de brevets européens déposées par la demanderesse (art. 4 du Protocole sur la reconnaissance, complété sur le plan local par l'art. 115 al. 1 LDIP) que pour connaître des prétentions que le demandeur entend déduire de son contrat de travail, ce d'autant que celui-ci exerçait également son activité professionnelle sur le territoire du canton (art. 34 al. 1 CPC qui reprend, sous réserve de quelques modifications d'ordre rédactionnel, l'art. 24 al. 1 de la loi fédérale sur les fors en matière civile [LFors, RO 2000 2355]). f)              La Cour civile est compétente à raison de la matière, que ce soit en qualité de juridiction cantonale unique imposée par le législateur fédéral en matière de brevets (cf. art. 76 de la loi fédérale du 25 juin 1954 sur les brevets d'invention [LBI, RS 232.14], abrogé par le ch. 12, Annexe II, du CPC; art. 74 al. 3 de la loi d'organisation judiciaire du 12 décembre 1979, dans sa teneur en vigueur jusqu'au 31 décembre 2010 [LOJV, ROLV 1999, p. 152]; sur ce point, cf. Pedrazzini/Hilti, op. cit., p. 488: Blum/Pedrazzini, Das schweizerische Patentrecht, vol. III, 2 e éd., n. 3 ad art. 76 LBI) ou en raison de la valeur litigieuse telle qu'elle ressort des chefs de conclusions n os V, VI, VII, VIII, IX et X de la demande, largement supérieure à 100'000 francs (art. 74 al. 2 LOJV, dans sa teneur en vigueur jusqu'au 31 décembre 2010). Pour le surplus, la question d'une transmission de la cause au Tribunal fédéral des brevets ne se pose pas en l'espèce. La loi du 20 mars 2009 sur le Tribunal fédéral des brevets (LTBF; RS 173.41) est entrée en vigueur le 1 er mars 2010, exception faite de plusieurs dispositions, parmi lesquelles l'art. 26 LTFB relatif à la compétence du tribunal, dont l'entrée en vigueur, d'abord attendue pour le 1 er janvier 2011 (Communiqué du Département fédéral de justice et police du 14 décembre 2009), a été reportée au 1 er janvier 2012 (RO 2011 2241). Quoi qu'il en soit, même si l'art. 26 LTFB était entré en vigueur le 1 er janvier 2011, un dessaisissement de la Cour civile aurait été exclu, dans la mesure où les débats principaux – auxquels il faut assimiler, en droit vaudois, le dépôt des mémoires de droit (cf. Bosshard, Le nouveau Tribunal fédéral des brevets et les juridictions cantonales, Revue suisse de procédure civile [RSPC] 2/2010, pp. 191 ss, spéc. 197) – ont eu lieu avant cette date (art. 41 LTBF). III. La titularité du droit à la délivrance des brevets européens s'examinera à la lumière du droit suisse, le demandeur ayant exercé son activité au service de la défenderesse à [...] (art. 60 al. 1 CBE 1973; art. 122 al. 3 qui renvoie à l'art. 121 al. 1 LDIP ; cf. Portmann, Die Arbeitnehmererfindung, thèse Zurich, Berne 1986 [cité ci-après: Portmann, Thèse], p. 43). IV. Le demandeur a modifié ses conclusions dans son mémoire de droit du 25 octobre 2010. Selon l'art. 266 al. 1 CPC-VD, les conclusions peuvent être réduites ou modifiées, pourvu que les conclusions nouvelles demeurent en connexité avec la demande initiale. Toute modification, réduction ou augmentation de conclusions est faite par requête, notifiée par le juge à la partie adverse, ou par dictée au procès-verbal (art. 268 al. 1 CPC-VD). En l'occurrence, la modification des conclusions du demandeur n'est pas intervenue dans les formes requises, de sorte qu'elle ne sera pas prise en considération. V. Suivant l'art. 61 CBE 2000, applicable aux demandes pendantes en vertu de la décision du 28 juin 2001 du conseil d'administration de l'Organisation européenne des brevets, si une décision passée en force de chose jugée a reconnu le droit à l'obtention du brevet européen à une personne autre que le demandeur, celle-ci peut: a) poursuivre, au lieu et place du demandeur, la procédure relative à la demande de brevet européen, en prenant cette demande à son compte; b) déposer une nouvelle demande de brevet européen pour la même invention; c) demander le rejet de la demande de brevet européen. Cette disposition ne fonde pas une véritable action en cession de la demande de brevet européen: elle exige seulement la constatation judiciaire de la titularité du droit à la délivrance du brevet (Tribunal de commerce du canton de Zurich, 28 août 2007, ZR 107/2008 n o 16 c. 2.2.1; Heinrich, PatG/EPÜ, Berne 2010, n. 8 ad art. 29 LBI). Au surplus, les modalités de l'action sont réservées au droit national (ATF 127 III 461 c. 4a, JT 2001 I 353). En droit suisse, l'art. 29 ch. 1 LBI accorde au propriétaire d'une invention le droit d'exiger de l'usurpateur la cession de la demande de brevet ou du brevet ainsi obtenu (Troller, Précis du droit suisse des biens immatériels, 2 e éd., Bâle 2006, pp. 228 s.). Lorsque le demandeur ne peut justifier de son droit à l'égard de toutes les revendications, le juge ordonne la cession de la demande de brevet ou du brevet, en éliminant les revendications pour lesquelles le demandeur n'a pas établi son droit (art. 30 al. 1 LBI). Dans l'hypothèse où le défendeur est de bonne foi, l'action doit être introduite dans les deux ans à compter de la date officielle de la publication du fascicule du brevet (art. 31 al. 2 LBI). L'action en cession est de nature condamnatoire, ce qui exclut en principe, faute d'intérêt, la recevabilité de conclusions constatatoires (Blum/Pedrazzini, op. cit., vol. II, n. 5 ad art. 29 LBI). VI. L'action en cession au sens l'art. 29 al. 1 LBI est recevable en l'espèce, sans qu'il soit nécessaire d'examiner la bonne ou la mauvaise foi de la défenderesse, puisque le fascicule du brevet n'a pas encore été officiellement publié. Bien que le demandeur n'ait pas formulé de conclusions condamnatoires – à tout le moins pas de manière univoque –, quand il conclut à ce qu'il soit prononcé que "[l]e droit à l'obtention des brevets européens portant sur les inventions et leurs formes spéciales d’exécution revendiquées dans les revendications 1, 4, 7, 8, 12 et 13 de la demande de brevet européen [...] et dans les revendications 1, 4, 12 et 13 de la demande de brevet européen [...] appartient à A.X.________ pour deux tiers", subsidiairement "pour un tiers" (chef de conclusions n o Ibis [principal et subsidiaire]), son action est recevable: en effet, comme déjà dit, les conclusions constatatoires sont admissibles concernant la titularité du droit au brevet européen; quant à la revendication de droits qui devraient être enregistrés dans des pays qui ne sont pas parties à la CBE, l'intérêt du demandeur à requérir leur constatation peut être exceptionnellement reconnu, dans la mesure où on ne saurait exiger de lui qu'il formule des conclusions condamnatoires, aucune demande de brevet n'étant concrètement pendante. VII. a)              Aux termes de l'art. 3 al. 1 LBI, le droit à la délivrance du brevet ( Recht auf das Patent ) appartient à l'inventeur, à son ayant cause ou "au tiers à qui l'invention appartient à un autre titre". Selon l'opinion généralement reçue, cette dernière formulation vise en particulier le cas de l'employeur (Rehbinder, op. cit., n. 3 ad art. 332 CO). De nos jours, en effet, la plupart des inventions sont le fait de travailleurs (Tribunal cantonal du canton de Nidwald, 11 mars 2008, sic! 2010 p. 41 c. 4.2). L'attribution des droits découlant de ces inventions n'est pas réglée par la LBI, mais par les dispositions du CO (Code des obligations du 30 mars 1911, RS 220) relatives au contrat de travail. A l'art. 332 CO, le législateur a dégagé un compromis entre deux principes potentiellement divergents: d'une part, celui de l'indivisibilité de l'œuvre et de son créateur, tel qu'il est consacré à l'art. 3 LBI, et, d'autre part, celui ancré à l'art. 321c CO, qui veut que l'employeur reçoive tout ce que le travailleur produit par son activité contractuelle (Pedrazzini/Hilti, op. cit., p. 210; Troller, op. cit., p. 226; Streiff/von Kaenel, Arbeitsvertrag, 6 e éd., Zurich 2006, n. 2 ad art. 332 CO). Ainsi, selon l'art. 332 al. 1 CO, les inventions que le travailleur a faites, ou à l'élaboration desquelles il a pris part, "dans l'exercice de son activité au service de l'employeur et conformément à ses obligations contractuelles", appartiennent à l'employeur, qu'elles puissent être protégées ou non. Une telle invention est dite de service (Wyler, Droit du travail, 2 e éd., Berne 2008) – en allemand "Aufgabenerfindung", "Obligenheitserfindung" ou "Auftragserfindung" (Staehelin, Zürcher Kommentar, 3 e éd., Zurich 1996, n. 7 ad art. 332 CO). L'employeur peut, par accord écrit, se réserver un droit sur les inventions que le travailleur a faites "dans l'exercice de son activité au service de l'employeur, mais en dehors de l'accomplissement de ses obligations contractuelles" (art. 332 al. 2 CO); dans ce cas, si l'invention n'est pas laissée au travailleur, l'employeur lui verse une rétribution spéciale équitable, compte tenu de toutes les circonstances (art. 332 al. 4 CO). On parle alors d'invention occasionnelle/fortuite, liée ou réservée (Aubert, Commentaire romand, Bâle 2003, n. 3 ad art. 332 CO; Brunner/Bühler/Waeber/Bruchez, Commentaire du contrat de travail, Lausanne 2004, n. 3 ad art. 332 CO; Wyler, op. cit., p. 377) – en allemand "Vorbehaltserfindung", "Gelegenheitserfindung" ou "Zufallerfindung" (Staehelin, op. cit., n. 12 ad art. 332 CO). b)              En présence d'une invention de service – i.e. lorsque les conditions posées par l'art. 332 al. 1 CO sont réunies, ce qu'il incombe à l'employeur de prouver (art. 8 CC [Code civil suisse du 10 décembre 1907, RS 210]; Staehelin, op. cit., n. 24 ad art. 332 CO) – l'employeur acquiert le droit à la délivrance du brevet de façon originaire, ce qui rend tout acte de cession superflu (ATF 57 II 304 c. 2; ATF 74 II 106 c. 4a; Rehbinder, op. cit., n. 6 ad art. 332 CO; Streiff/von Kaenel, op. cit., n. 9 ad art. 332 CO; Wyler, Droit du travail, 2 e éd., Berne 2008, pp. 373 s.; Carruzzo, Le contrat individuel de travail, Zurich 2009, n. 2 ad art. 332 CO, p. 420 et les réf. cit. en note 5; Subilia/Duc, Droit du travail, Lausanne 2010, n. 14 ad art. 332 CO). Le travailleur conserve toutefois le droit inamissible d'être mentionné comme inventeur au registre des brevets (art. 5 al. 2 LBI; cf. Portmann, Thèse, pp. 52 s.; Troller, op. cit., p. 232). VIII. Il n'est pas contesté, en l'espèce, que le demandeur et la défenderesse ont été liés par un contrat de travail au sens des art. 319 ss CO. Il s'agit donc d'examiner si les systèmes "sans essuyage" et "recto verso" dont le demandeur revendique la paternité constituent des inventions de service au sens de l'art. 332 al. 1 CO, auquel cas les droits qui en découlent appartiennent à la défenderesse. a)              aa) Une invention de service ne se conçoit que si le travailleur l'a faite dans l'exercice de son activité au service de l'employeur (art. 332 al. 1 CO). Tel est le cas lorsqu'il existe un rapport logique étroit entre l'activité de l'employé et l'invention (ATF 72 II 270 c. 4; Tribunal fédéral,</w:t>
      </w:r>
    </w:p>
    <w:p>
      <w:r>
        <w:rPr>
          <w:b/>
        </w:rPr>
        <w:t>E. 9</w:t>
      </w:r>
    </w:p>
    <w:p>
      <w:r>
        <w:t>février 1983, Revue suisse de jurisprudence [RSJ] 80/1984 n o 39 p. 230 c. 2). A cet égard, le fait que celui-ci profite de l'expérience et des travaux des collaborateurs de l'entreprise constitue un indice en faveur de l'existence d'un lien matériel entre l'invention et l'activité du travailleur (Tribunal cantonal du canton de Nidwald,</w:t>
      </w:r>
    </w:p>
    <w:p>
      <w:r>
        <w:rPr>
          <w:b/>
        </w:rPr>
        <w:t>E. 11</w:t>
      </w:r>
    </w:p>
    <w:p>
      <w:r>
        <w:t>mars 2008, sic! 2010 p. 41 c. 4.2; Staehelin, op. cit., n. 5 i.f. ad art. 332 CO). En revanche, il est indifférent que le travailleur ait créé une invention pendant les heures de travail ou pendant son temps libre, ou qu'il l'ait fait à son poste de travail ou à son domicile (ATF 72 II 270 c. 4; Wyler, op. cit., pp. 374 s.; Portmann, Basler Kommentar, 4 e éd., Bâle 2007, n. 9 ad art. 332 CO). bb) Le demandeur a été engagé comme mécanicien spécialisé par la défenderesse. Celle-ci étudie, dessine, met au point et vend des machines destinées à l'impression des billets de banque et des papiers fiduciaires. Elle détient plus de deux cents brevets relatifs à différents aspects techniques des machines d'impression de billets de banque. En 1995, le cahier des charges du demandeur mentionnait, notamment, la fabrication de pièces pour prototypes et les modifications générales des machines spécifiques des centres de la défenderesse. En outre, la preuve a été faite que le demandeur était quotidiennement en contact avec les machines d'impression, qu'il portait assistance aux techniciens et fournisseurs de ces machines lors des travaux de montage et de démontage effectués dans les centres de la défenderesse et qu'il était responsable de l'exécution des travaux de modification mécanique sur diverses installations et machines d'impression. L'instruction a aussi montré que si le demandeur a travaillé seul à l'élaboration des systèmes "sans essuyage" et "recto verso", il a bénéficié de l'expérience des imprimeurs de la défenderesse ( supra , ch. 9d). Dès lors, force est de conclure que les inventions "sans essuyage" et "recto verso", qui portent toutes deux sur des variantes de configuration de machines d'impression taille-douce ( supra , ch. 9b), se trouvent dans un rapport logique étroit avec les tâches qui étaient confiées au demandeur et qu'elles appartenaient matériellement à son domaine d'activité spécifique. Qu'il les ait conçues en dehors de ses heures de travail ou durant celles-ci – comme on la retenu en fait – ne constitue pas une circonstance déterminante, ainsi qu'on l'a dit plus haut. Partant, la Cour considère que les inventions en cause ont été faites par le demandeur dans l'exercice de son activité au service de la défenderesse. Il reste à savoir s'il était contractuellement tenu de les réaliser. b)              aa) Il n'est pas nécessaire, à cet égard, que le contrat de travail impose en termes exprès au travailleur une activité créatrice ou inventive: il suffit qu'une telle activité puisse être attendue du travailleur – fût-ce à titre accessoire (Portmann/Stöckli, Schweizerisches Arbeitsrecht, 2 e éd., Zurich 2007, n o 596; cf. déjà: Becker, Berner Kommentar, Berne 1934, n. 3 ad art. 343 aCO) – au regard de toutes les circonstances concrètes qui existaient au moment de la conception de l'invention (ATF 100 IV 167 c. 1; Portmann, Thèse, p. 49; Vischer, Schweizerisches Privatrecht, vol. VII/4: Der Arbeitsvertrag, 3 e éd., Bâle 2005, § 21 II 1; Wyler, op. cit., p. 374). Sont des circonstances pertinentes, dans ce cadre, les directives de l'employeur, la position du travailleur dans l'entreprise, les ressources humaines, financières et logistiques à sa disposition, le niveau de son salaire, son indépendance dans l'organisation du travail, sa formation et son expérience, ainsi que le but social de l'entreprise qui l'emploie (TF 2A.204/2006 du 22 juin 2007 c. 7.1; Tribunal cantonal du canton de St-Gall, 14 mars 2001, St. Gallische Gerichts- und Verwaltungspraxis [SG GVP] 2001 n o 41 c. 2c; Portmann,Thèse, p. 49; Staehelin, op. cit., n. 8 ad art. 332 CO; Brunner/Bühler/Waeber/Bruchez, op. cit., n. 4 ad art. 332 CO). D'une manière générale, on doit reconnaître l'existence d'un devoir d'exercer une activité inventive en présence d'un travailleur qui – de par sa situation dans l'entreprise – ne se borne pas à appliquer le savoir technique possédé par celle-ci, mais dont on peut attendre qu'il l'élargisse par de nouvelles inventions, étant précisé qu'une telle obligation sera plus facilement admise dans la personne d'un collaborateur occupant une fonction dirigeante que chez un travailleur subordonné (Tribunal cantonal du canton de St-Gall, 9 février/21 avril 1983, Jahrbuch des Schweizerischen Arbeitsrecht [JAR] 1985 p. 178 c. 3; Staehelin, op. cit., n. 8 ad art. 332 CO). bb)              Il est constant que les parties n'ont pas stipulé, dans le contrat de travail qu'elles ont signé, une obligation particulière d'exercer une activité inventive. Le cahier des charges du demandeur, avec la teneur qui était la sienne dans le courant de l'année 1995, ne mentionne pas non plus un tel devoir, lequel n'est apparu que dans un document daté du 31 janvier 2001, soit après la conception des inventions litigieuses, sous la forme d'un devoir de collaborer avec le bureau technique de la défenderesse ( supra , ch. 3c et d). De plus, l'instruction a permis de constater que le demandeur n'a jamais été formellement rattaché à ce bureau, qui était situé à [...], en tout cas jusqu'à l'année 2001. Il travaillait dans le centre du [...], qui abritait un atelier mécanique, et dépendait hiérarchiquement du directeur de ce centre. Le demandeur exécutait également des travaux de modification et de transformation mécanique spécifiques auprès des clients de la défenderesse jusqu'au rachat de celle-ci par K.________ AG. A sa demande, il a obtenu, le 23 mars 1988, la responsabilité de l'atelier mécanique. Au mois de septembre de la même année, une note interne informait les collaborateurs de la défenderesse que le demandeur était également chargé de coordonner les travaux mécaniques liés à des projets de recherche et développement, d'entente avec le chef de projet responsable. La défenderesse a rétabli le statu quo ante le 2 juin 1989 ( supra , ch. 3b). Au-delà de ce qui précède, la Cour a constaté que le demandeur assumait de fait la responsabilité de l'atelier mécanique. Il était la personne de référence pour les membres du bureau technique. De par sa fonction, il était en mesure de constater les éventuels défauts des machines d'impression, et l'une de ses missions était de trouver des solutions à des problèmes pratiques concrets qui pouvaient surgir lors de l'utilisation de ces machines. Aussi le rôle du demandeur ne se limitait-il pas à celui d'un mécanicien, puisqu'il participait également à la réalisation de nouvelles inventions et qu'il initiait souvent des nouveautés, de façon spontanée. L'amélioration de pièces et de composants de machines constituait d'ailleurs son domaine de prédilection. Ainsi, le demandeur a exécuté des tâches en matière de développement depuis le début de son activité au service de la défenderesse et, partant, avant que cela ne soit mentionné dans son cahier des charges en 2001. Sa fonction impliquait une activité innovante et, notamment, l'étude et la réalisation d'incessants perfectionnements sur les machines existantes, brevetables ou non. Même s'il n'y était pas formellement rattaché, le demandeur collaborait directement avec le bureau technique – à tout le moins jusqu'au rachat de la défenderesse par K.________ AG. Dans cet aspect de son travail, il était subordonné à B.________. En ce qui concerne les inventions réalisées entre 1988 et 2000, pour lesquelles la défenderesse a obtenu des brevets, l'impulsion de départ pouvait provenir des instructeurs de la défenderesse, mais, parfois, le demandeur initiait le processus spontanément. Les travaux du demandeur n'étaient pas toujours en relation avec une mission particulière, mais ils étaient exécutés, au su de la défenderesse, pendant les heures et sur le lieu de travail du demandeur. Celui-ci développait ces inventions avec les moyens techniques mis à disposition par son employeur et procédait à des essais sur les machines de la défenderesse. Il disposait, au sein de l'atelier mécanique, d'une place de travail qui lui était réservée. Toutes les conditions étaient réunies du côté de la défenderesse pour qu'il puisse exercer au mieux son activité inventive dans le cadre de son travail ( supra , ch. 8h). Il apparaît en outre que la défenderesse a reconnu l'activité créatrice du demandeur. En effet, elle l'a cité en qualité d'inventeur dans plusieurs demandes de brevet qu'elle a déposées. On note par ailleurs, à la suite de l'expert, que le salaire du demandeur a augmenté d'une manière remarquable dès l'année 1989, soit au moment du dépôt du premier groupe de demandes de brevets. Les gratifications qui lui ont été allouées ( supra , ch. 6b) et le nombre considérable d'heures supplémentaires que la défenderesse a indemnisées durant les années 1999 et 2000 ( supra , ch. 6c) montrent qu'elle prenait en considération l'investissement personnel consenti par le demandeur. Celui-ci percevait une rémunération plus élevée que les collaborateurs du bureau technique ( supra , ch. 6a). Sur ce point, le demandeur invoque en vain la comparaison avec le salaire plus important accordé à O.________, ancien collaborateur du bureau technique, dans la mesure où l'on ignore tout des mérites de ce dernier, des responsabilités qu'il assumait et, cas échéant, des inventions qu'il a conçues. Il reste qu'en considération de sa formation, la rétribution du demandeur était, à dire d'expert, extraordinairement généreuse et qu'un tel salaire ne serait pas justifié si les charges du demandeur n'impliquaient pas de contribution inventive. Il faut en conclure, avec l'expert, que la défenderesse distinguait les contributions du demandeur et en tenait compte du point de vue du salaire. On voit mal, enfin, comment le demandeur peut, sans se contredire, admettre que les inventions qui ont fait l'objet de brevets entre 1989 et 2000 sont des inventions de service (p. 24 de la demande), ce qui implique la reconnaissance à tout le moins implicite d'une obligation inventive, tout en niant l'existence d'une telle obligation en rapport avec les systèmes "sans essuyage" et "recto verso", conçus dans le courant de l'année 2000. En effet, il n'est pas allégué que sa position au sein de la défenderesse aurait été modifiée dans l'intervalle, ni d'ailleurs que son cahier des charges aurait été restreint. Pour tenter de résoudre ce paradoxe, le demandeur plaide que les inventions en cause seraient d'une nature différente: alors que les dispositifs brevetés entre 1989 et 2000 ne représenteraient que de simples solutions à des problèmes pratiques et concrets, développées sur instruction de la défenderesse, les systèmes "sans essuyage" et "recto verso" constitueraient des machines de conception nouvelle. L'argument ne convainc pas. D'une part, il est contestable d'apprécier l'existence d'une obligation inventive a posteriori , au regard de l'ampleur du résultat produit par l'activité créatrice du travailleur: lorsqu'un employé est tenu d'exercer une activité inventive, l'art. 332 al. 1 CO attribue les droits sur les fruits de son travail créatif à l'employeur, indépendamment de l'importance de ceux-ci, pour autant qu'ils se trouvent dans un rapport logique étroit avec l'activité du travailleur. Tel est le cas, en l'espèce, des inventions "sans essuyage" et "recto verso" qui, à l'instar des systèmes enregistrés entre 1989 et 2000, portaient sur des variantes de configuration de machines d'impression exploitées par la défenderesse et ressortissaient au domaine d'activité du demandeur. D'autre part, même s'il fallait, comme le soutient le demandeur, distinguer les inventions portant sur des systèmes de conception entièrement nouvelle de celles qui ne constituent que de simples solutions pratiques à des problèmes concrets, il n'apparaît pas, en l'espèce, que les inventions "sans essuyage" et "recto verso" appartiennent à la première catégorie. Selon l'expert, le demandeur a conçu un système dans lequel seule l'encre correspondant à l'image à imprimer est transférée sur le cylindre d'impression, ceci grâce à l'essuyage presque total du cylindre encreur effectué au moyen d'un dispositif supplémentaire d'essuyage, coopérant avec la surface du cylindre encreur ( supra , ch. 27e/bb). En rapport avec l'invention "recto verso", il a précisé qu'un tel concept, en tant qu'idée générale, n'était plus une invention brevetable au moment où le demandeur l'a présenté ( supra , ch. 27d/dd). L'expert a conclu que les concepts "non wipe" et "recto verso", tels qu'imaginés par le demandeur, constituent une contribution pratique et tout à fait intéressante, nouvelle et inventive, qui pourrait justifier la délivrance d'un brevet, mais qu'on ne saurait qualifier de "révolutionnaire" ( supra , ch. 27e/cc). Il faut en déduire que ces inventions ne portaient pas sur des machines d'impression entièrement nouvelles, mais représentaient plus modestement des améliorations de systèmes déjà existants. De ce point de vue, elles ne se distinguaient guère des dispositifs brevetés entre 1989 et 2000, de sorte que si le demandeur était contractuellement tenu d'imaginer ceux-ci, il devait aussi concevoir celles-là. cc) Au vu de ce qui précède, la Cour considère que le demandeur avait l'obligation d'exercer une activité inventive, à tout le moins à titre accessoire. Bien que le contrat de travail ne stipulât explicitement aucune obligation dans ce sens, la défenderesse était en droit d'attendre de lui qu'il conçoive des inventions destinées à améliorer les performances de son parc de machines, compte tenu de sa situation dans l'entreprise, de la liberté dont il jouissait dans l'organisation de son travail et du niveau de sa rémunération. Les parties avaient implicitement convenu que le demandeur exercerait ses talents d'inventeur – son domaine de prédilection ( supra , ch. 4) – au service de la défenderesse. Par conséquent, les systèmes "sans essuyage" et "recto verso" sont des inventions de service au sens de l'art. 332 al. 1 CO et les droits de propriété intellectuelle y relatifs ont appartenu dès l'origine à la défenderesse. Le demandeur n'a aucun droit à la délivrance des brevets européens n os [...] et [...], de sorte que son chef de conclusions n o Ibis (principale et subsidiaire) doit être rejeté, sans qu'il soit nécessaire de dire dans quelle mesure les demandes de brevet litigieuses incorporent ses idées. Les chefs de conclusions tendant à ce qu'interdiction soit faite à la défenderesse, sous la menace de la peine prévue à l'art. 292 CP (Code pénal du 21 décembre 1937, RS 311.0) d'utiliser de quelque manière que ce soit une partie des inventions et des formes d'exécution revendiquées dans la demande internationale n o [...] (n o II), ainsi que les systèmes "sans essuyage" et "recto verso" conçus par le demandeur (n os III, IV), suivront logiquement le même sort. Il doit en aller de même du chef de conclusions subsidiaire n o XI, par lequel le demandeur revendique la titularité des droits relatifs au système "recto verso". IX. Au cinquième chef de ses conclusions, le demandeur réclame à la défenderesse le paiement de 1'120'000 fr. à titre d'indemnité spéciale pour les sept inventions brevetées entre les années 1988 et 2000. Il demande en outre, pour le cas où ses droits sur les systèmes "sans essuyage" et "recto verso" ne seraient pas reconnus, le versement d'une indemnité de 160'000 francs (chef de conclusions subsidiaire n o X). a) De lege lata , le travailleur qui réalise une invention de service au sens de l'art. 332 CO ne peut pas prétendre – sauf convention contraire – au paiement d'une rémunération particulière en sus du salaire contractuellement prévu (Wyler, op. cit., p. 375; Subilia/Duc, op. cit., n. 15 ad art. 332 CO). Dans ce contexte, en effet, l'activité inventive du travailleur constitue la prestation due en vertu du contrat de travail, en contrepartie de laquelle il reçoit le salaire et, cas échéant, les gratifications convenus (ATF 57 II 304 c. 1; Vischer, op. cit., § 21 II 1; Portmann, Thèse, p. 76; Brunner/Bühler/Waeber/Bruchez, op. cit., n. 5 ad art. 332). Compte tenu de son caractère dispositif, l'art. 332 al. 1 CO ne prive pas les parties de la possibilité de déroger au régime légal, en prévoyant, par exemple, une prime pour chaque invention ou une participation au bénéfice de l'entreprise (Carruzzo, op. et loc. cit.; TF 4C.369/2000 du 17 août 2001). En dépit de cette faculté, la règle est critiquée en doctrine (cf. parmi d'autres: Dessemontet, La propriété intellectuelle, Lausanne 2000, p. 137; Wyler, op. cit., p. 375 n. infrapaginale 1330; Portmann, thèse, pp. 76 s.). Certains auteurs, s'inspirant d'un arrêt saint-gallois (Tribunal cantonal du canton de St-Gall, JAR 1989 p. 193 c. 3), admettent le principe d'une indemnité spéciale lorsque le travailleur a consenti des efforts qui excèdent de beaucoup le cadre de ce qui pouvait être exigé de lui, ou s'est fait l'auteur d'une invention qui revêt une valeur économique particulièrement élevée, qui ne pouvait être envisagée par les parties au moment de la fixation du salaire; il reviendrait au juge, dans cette hypothèse, de combler une lacune du contrat (Staehelin, op. cit., n. 11 ad art. 332 CO; Rehbinder, op. cit., n. 8 ad art. 332 CO). b)              Quoi qu'il en soit, la Cour civile peut se dispenser de vérifier que cette solution reste compatible avec le droit en vigueur, dans la mesure où, en tout état de cause, il n'est pas démontré que le demandeur ait fourni des efforts dépassant ce qui pouvait être exigé de lui, ni que les inventions qu'il a réalisées représentent une valeur économique particulièrement élevée. Le contrat de travail ne contient dès lors pas une lacune qu'il incomberait au juge de combler. aa) En effet, il n'est pas allégué – ni a fortiori établi – que le demandeur a conçu les inventions ayant fait l'objet des sept demandes de brevet en cause au prix d'un effort extraordinaire. La première condition du paiement d'une indemnité spéciale fait ainsi défaut. Pour le reste, la valeur économique des brevets dont la paternité est attribuée au demandeur doit être relativisée, même si elle ne peut pas être ignorée, dès lors qu'ils ne concernent qu'une partie d'une machine complexe, couverte par une multitude de brevets. Dans ce contexte, la valeur économique d'une invention portant sur un dispositif particulier est pratiquement impossible à déterminer. Il reste que ces brevets peuvent produire un effet de blocage. Mais il est difficile d'en estimer la valeur, puisqu'elle dépend au premier chef de l'effet concret qu'un brevet peut avoir sur les activités d'un concurrent, ce qui peut varier en fonction de la concurrence et de la position de son titulaire sur le marché (ch. 27c). Les experts expriment des opinions divergentes quant à la valeur des inventions en cause. Selon l'expert hors procès Scheuchzer, seuls les brevets européens [...] ([...]) et [...] ([...]) présentent une valeur, qu'il a arrêtée globalement à 80'000 francs. L'expert Bremi, quant à lui, présume que la valeur des brevets doit au moins couvrir ce que la défenderesse a dépensé pour le déposer, l'obtenir et le maintenir, soit un montant minimal de 60'000 fr. par brevet. Ce dernier raisonnement peine à convaincre. Les frais qu'une entreprise engage pour obtenir la protection d'une création industrielle doivent être considérés comme un investissement. Or cet investissement peut ensuite se révéler totalement improductif, dans l'hypothèse où l'invention brevetée ne présenterait pas le potentiel commercial ou l'effet de blocage escomptés, de sorte qu'il apparaît quelque peu artificiel de réduire la valeur d'une invention aux coûts qu'a impliqué sa protection: un ouvrage inutilisable ne vaut pas l'argent qu'on a dépensé pour l'obtenir. Quoi qu'il en soit, même s'il fallait retenir les chiffres articulés par l'expert judiciaire, les sept inventions en cause vaudraient, au total, tout au plus 420'000 francs. Réparti sur une période de douze ans – la première demande a été déposée en 1988 et la dernière en 2000 –, ce montant correspond à un apport annuel de 35'000 fr., qu'on ne saurait qualifier de particulièrement élevé, au point de justifier le paiement d'une indemnité spéciale. bb) Il n'est pas prouvé que le demandeur ait conçu les systèmes "sans essuyage" et "recto verso" à son domicile et en dehors de ses heures de travail (ch. 9c). On ignore le temps qu'il lui a fallu pour parvenir à réaliser les six planches de dessins datées du 23 novembre 2000, si bien qu'on ne saurait tenir pour établi qu'il a consenti un effort exceptionnel (ch. 8c). Il en va de même de la valeur de ces systèmes. Certes, ils représentent une contribution tout à fait intéressante, nouvelle et inventive. On ne saurait toutefois la qualifier de révolutionnaire (ch. 27e/cc). Dans ces conditions, rien ne permet d'attacher à ces inventions une valeur économique particulièrement importante, qui ferait apparaître disproportionnées les prestations du demandeur au regard de la rémunération qui lui a été versée, ce d'autant qu'à ce jour, aucun brevet n'a été délivré. Il s'ensuit que, de ce point de vue également, ses prétentions sont mal fondées. c)              Les conclusions V et X doivent dès lors être rejetées. X. Le demandeur prétend que la résiliation du contrat de travail par la défenderesse est abusive. A titre d'indemnité, il réclame le paiement d'une somme de 61'290 fr., équivalant à six mois de salaire. a)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JT 2006 I 152; ATF 131 III 535 c. 4.1, JT 2006 I 194 [rés.]; ATF 130 III 699 c. 4.1, JT 2006 I 193 [rés.]). L'art. 336 CO énumère les cas dans lesquels le congé est abusif. A teneur de l'art. 336 al. 1 litt.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des prétentions découlant du contrat de travail, d'une convention collective, voire de la pratique (Staehelin, Commentaire zurichois, n. 24 ad art. 336 CO; Wyler, op. cit., p. 547; Zoss, La résiliation abusive du contrat de travail.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SJ 1995 p. 797 c. 2; TF 4C.262/2003 du 4 novembre 2003 c. 3.1). Un congé n'est abusif, au sens de l'art. 336 al. 1 litt. d CO, que si la prétention élevée par le travailleur se trouve dans un rapport de causalité avec la décision prise par l'employeur de résilier le contrat (Wyler, op. cit., p. 546). Conformément à l'art. 8 CC, il incombe au travailleur de démontrer que le congé a été donné parce que, de bonne foi, il a fait valoir une prétention (Portmann, Basler Kommentar, n. 31 ad art. 336 CO). Dans la mesure toutefois où il s'agit de prouver un processus psychologique, soit le motif réel de celui qui a donné le congé, une preuve stricte ne peut guère être exigée, raison pour laquelle la jurisprudence se satisfait de la haute vraisemblance du motif allégué (TF, 30 juin 1992, SJ 1993 p. 360 c. 3a; ATF 125 III 277 c. 3c, JT 2000 I 240; Staehelin, op. cit., n. 36 ad art. 336 CO). En outre, bien qu'il n'existe aucune présomption légale selon laquelle la résiliation serait abusive lorsque la motivation de celle-ci, communiquée en application de l'art. 335 al. 2 CO, est fausse, incomplète ou manquante (ATF 121 III 60 c. 3b), le Tribunal fédéral présume l'existence d'un congé abusif lorsque l'employé parvient à présenter des indices faisant apparaître comme factice le motif avancé par l'employeur (ATF 130 III 699 c. 4.1). Ainsi, la connexion chronologique étroite entre le moment où la prétention est élevée et celui où la résiliation intervient peut être appréciée comme constituant un indice dans ce sens (Tribunal cantonal du canton du Jura, 2 février 1996, Revue jurassienne de jurisprudence [RJJ] 1996 p. 163 c. 3a; Streiff/von Kaenel, op. cit., n. 16 ad art. 336 CO; Portmann, Basler Kommentar, n. 31 ad art. 336 CO). Cependant, si elle facilite la preuve, cette présomption de fait n'a pas pour résultat d'en renverser le fardeau. Elle représente, en définitive, une forme de «preuve par indices», qui interdit à l'employeur de rester inactif; en effet, celui-ci n'a pas d'autre issue que de fournir des preuves à l'appui de ses propres allégations quant au motif du congé (ATF 130 III 699 c. 4.1). b)              En l'espèce, la défenderesse a résilié le contrat de travail qui la liait au demandeur au motif que celui-ci aurait agi de manière déloyale à son égard, en utilisant son infrastructure et des informations confidentielles à son insu pour les besoins d'un projet de développement concurrent (ch. 25a). Le demandeur soutient que le motif avancé par la défenderesse n'est qu'un prétexte et qu'il a été licencié parce qu'il avait élevé des prétentions sur les inventions "sans essuyage" et "recto verso". Il résulte de l'instruction que le développement du projet "sans essuyage" par le demandeur, C.________ et V.________, sous l'égide de C.T.________, devait être conduit à l'extérieur de la société défenderesse. Le projet était censé rester secret vis-à-vis de celle-ci, ses promoteurs considérant même comme une menace le fait qu'elle puisse le découvrir (ch. 13a). Par ailleurs, la preuve est faite que le demandeur était conscient de ces modalités (ch. 13b). En tout état de cause, une résiliation ordinaire qui serait motivée par un tel comportement ne saurait – d'un point de vue objectif – être qualifiée d'abusive au sens de l'art. 336 CO. c)              A l'appui de sa thèse, le demandeur prétend que la défenderesse avait connaissance du projet Cuba Libre bien avant que son conseil ne lui adresse, en août 2005, le rapport éponyme, sans que cela n'ait suscité une quelconque réaction de sa part. aa) Il est établi que C.T.________, alors président du conseil d'administration de la défenderesse, savait que C.________ avait rencontré V.________ et le demandeur au sujet des inventions "sans essuyage" et "recto verso" que ce dernier avait présentées le 15 décembre 2000 à l'hôtel [...]. C.T.________ avait décidé de procéder à une évaluation du projet "non wipe" en dehors de la société défenderesse (ch. 13a). Aussi faut-il examiner si ce que C.T.________ savait du projet Cuba Libre peut être imputé à la défenderesse. L'imputation de la connaissance ( Wissenvertretung ou Wissensanrechnung ) permet d'attribuer à la personne morale ce que sait son organe lorsque cela a une portée juridique (Xoudis, Commentaire romand, CC I, Bâle 2010, n. 59 ad art. 54/55 CC). Autrefois, une théorie absolue prévalait: ce qui est connu d'un organe est réputé connu de la personne morale et des autres organes, peu importe qu'à l'époque déterminante pour l'opposabilité, l'organe en cause soit habilité à exprimer la volonté de la personne morale ou ait perdu cette qualité parce qu'il ne fait plus partie de la personne juridique (cf. le tableau historique présenté par Riemer, Berner Kommentar, Berne 1993, nn. 45 ss ad art. 54/55 CC, et Kiss-Peter, Guter Glaube und Verschulden bei mehrgliedrigen Organen, in Basler Juristische Mitteilungen [BJM] 1990 pp. 281 ss, spéc. 289 ss). La doctrine a toutefois critiqué cette approche absolue, pour les résultats inéquitables auxquels elle pouvait aboutir (cf. les exemples donnés par Reichwein, Wie weit ist der Aktiengesellschaft und andern juristischen Personen das Wissen ihrer Organe zuzurechnen (sog. Wissensvertretung) ?, in Revue Suisse de Jurisprudence [RSJ] 66/1970 pp. 1 ss). Selon une tendance plus récente, les faits qu'un organe sait ou devrait savoir ne sont imputés à la personne morale que s'ils sont liés à une activité dont l'organe est effectivement chargé ou si l'information n'est pas parvenue à l'organe en raison du défaut d'organisation de la personne morale (Weber, Schweizerisches Privatrecht, II/4, Bâle 1998, § 9 IV 3; Watter, Basler Kommentar, OR II, 3 e éd., Bâle 2008, n. 35 ad art. 718 CO; Xoudis, op. et loc. cit.). Dans un obiter dictum , le Tribunal fédéral s'est référé à ces nouveaux principes, sans toutefois dire clairement s'il les faisait siens ou non (TF 4C.335/1999 du 25 août 2000 c. 5a). Plus récemment encore, il a estimé qu'une personne morale n'est réputée avoir la connaissance d'un fait juridiquement pertinent que lorsque l'information y relative est objectivement disponible au sein de son organisation (TF 5C.104/2001 du 21 août 2001 c. 4c/bb). Par ailleurs, la jurisprudence a parfois refusé de suivre l'approche absolue pour des motifs d'équité: ainsi, le Tribunal fédéral a exclu qu'on impute à la victime d'une tromperie la connaissance qu'en avait son représentant, dès lors que celui-ci formait une unité économique avec l'auteur de l'escroquerie; à défaut le représenté se serait vu objecter son consentement à la manœuvre dolosive, ce qui a été jugé choquant (ATF 112 II 503 c. 3b; cf. aussi le Tribunal de commerce du canton de Zurich, 23 septembre 1992, Blätter für Zürcherische Rechtsprechung [ZR] 93/1994 n o 30 c. 13). Dans le même ordre d'idées, il a été soutenu en doctrine que l'imputation doit être exclue lorsque l'organe s'entend avec un tiers pour cacher une information à la partie pour laquelle il est censé agir loyalement (Rouiller, Droit suisse des obligations et Principes du droit européen des contrats, Lausanne 2007, pp. 436 s.). bb) Dans le cas d'espèce, les informations que possédait C.T.________ ne peuvent être imputées à la défenderesse. Il n'est pas établi que le président du conseil d'administration était spécialement chargé des ressources humaines de la défenderesse, ni que l'information selon laquelle le demandeur participait à un projet concurrent n'ait pas pu parvenir aux services compétents en raison d'un défaut d'organisation de la société. L'information litigieuse était objectivement inaccessible aux organes de la défenderesse, parce que C.T.________ l'avait voulu ainsi, ce que le demandeur savait ( supra , ch. 13b). Il serait enfin pour le moins singulier d'attribuer à la défenderesse la connaissance d'un fait que son organe lui avait délibérément caché, d'entente avec le demandeur et en violation de l'obligation de fidélité attachée à ses fonctions. Le demandeur ne peut, sauf à commettre un abus de droit (art. 2 al. 2 CC), soutenir que ce que savait C.T.________ doit être imputé à la défenderesse, alors que la question du secret avait été mentionnée à plusieurs reprises lors des réunions du début de l'année 2001 et qu'il savait que le projet "non wipe" devait être développé en dehors de la défenderesse. cc) L'instruction a démontré que la défenderesse a eu vent d'une réunion entre le demandeur et quelques autres personnes par courrier du 12 décembre 2002 du conseil du demandeur, lequel avait également fait état, dans une lettre du 16 janvier 2003, des discussions qui avaient eu lieu au début de l'année 2001 entre le demandeur, V.________ et C.________. Le directeur de la défenderesse savait qu'une étude de faisabilité avait été conduite au sujet d'une invention portant sur une machine sans essuyage et se doutait qu'il y avait eu des travaux menés par le demandeur, V.________ et C.________ sur ce procédé. Le fait que la défenderesse ait eu connaissance de l'existence de réunions et de travaux au sujet d'un projet de machine sans essuyage ne signifie pas encore qu'elle ait su toutes les modalités qu'impliquait le rapport "Cuba Libre", notamment l'exigence de confidentialité et les perspectives de commercialisation envisagées. Les règles énoncées par la jurisprudence en rapport avec la démonstration du caractère abusif de la résiliation du contrat de travail facilitent la preuve, en posant quelques présomptions de fait, mais elles n'ont pas pour conséquence d'en renverser le fardeau ( supra , c. IXa). Or, s'il n'est pas établi que la défenderesse n'avait pas eu connaissance du rapport "Cuba Libre" et de son contenu avant que le conseil du demandeur ne le lui transmette, le contraire n'est pas non plus prouvé, fût-ce au degré de la haute vraisemblance, et le demandeur doit en supporter les conséquences de l'échec de cette preuve. dd) Au vu de ce qui précède, la Cour civile considère que la défenderesse n'a pas tardé à réagir lorsqu'elle a pris connaissance du contenu du rapport "Cuba Libre", de sorte que le motif qu'elle a invoqué à l'appui de la résiliation des rapports de travail n'apparaît pas suspect de ce fait. d)              Le demandeur relève encore que C.________ n'a pas été licencié lorsque la défenderesse a reçu le rapport "Cuba Libre". A le suivre, cette différence de traitement démontrerait que le motif invoqué par la défenderesse à l'appui du congé qui lui a été signifié ne correspond pas à la réalité. La prémisse du raisonnement est erronée. Le demandeur perd de vue que C.________, s'il a participé à la rédaction du rapport "Cuba Libre", n'était pas, à cette époque, l'employé de la défenderesse, à telle enseigne que celle-ci ne pouvait guère lui reprocher la violation d'une obligation de fidélité qui n'existait pas encore. e)              Pour le reste, s'il est établi que le demandeur a eu le sentiment, depuis l'année 2002, d'être dégradé et mis de côté, l'instruction n'a pas démontré que ce ressenti correspondait à la réalité, ni que la défenderesse avait mis en œuvre une stratégie délibérée dans ce sens. Certes, le demandeur n'a pas être intégré dans l'équipe chargée de travailler au développement de la nouvelle génération de machines taille-douce: cette circonstance s'explique objectivement par l'existence du conflit qui l'opposait à son employeur et aucun élément du dossier ne permet de croire qu'elle résultait de la volonté de la défenderesse plus que de celle du demandeur. Quant à la décision de ne plus l'envoyer à l'étranger, elle était liée au changement de structure de la défenderesse. En outre, bien que celle-ci ait laissé entendre, le 17 janvier 2003, que l'ouverture d'une action judiciaire ne lui semblait guère compatible avec la poursuite des relations de travail, elle n'a pas résilié le contrat lorsque, le 21 novembre 2003, le demandeur a saisi le juge de paix d'une requête de preuve à futur. Il apparaît bien plutôt qu'elle a négocié avec le demandeur pendant plus de deux ans et demi, et qu'elle lui a proposé de collaborer au projet de développement du système "sans essuyage". Aucun élément de l'état de fait ne permet de supputer qu'elle ne l'aurait pas fait de bonne foi, ou que c'est la tournure prises par ces négociations, voire l'insistance du demandeur à émettre des prétentions à cet égard, qui ont motivé le licenciement. Au vu de ce qui précède, le licenciement signifié au demandeur échappe à la critique sous l'angle de l'art. 336 al. 1 litt. d CO. La conclusion VI tendant au paiement d'une indemnité pour résiliation abusive doit être rejetée. XI. Le demandeur conclut au paiement d'indemnités de 4'705 fr. 85 et de 8'371 fr. 10 en compensation des jours de vacances qu'il n'a pas pu prendre en 2005 et 2006 (chefs de conclusions n os VII et VIII). a)              L'employeur accorde au travailleur, chaque année de service, quatre semaines de vacances au moins (art. 329a al. 1 CO). Les vacances ont pour but essentiel de maintenir le travailleur en bonne santé et de lui permettre de faire disparaître la fatigue accumulée durant l’année. Pour que cet objectif soit atteint, le travailleur doit pouvoir se reposer, se distraire et être en mesure de participer à la vie communautaire et culturelle (Cerottini, Le droit aux vacances, thèse, Lausanne 2001, p. 253). L'absence du travail ne peut être considérée comme des vacances que si le travailleur n'est pas incapable de les prendre: lorsqu'une maladie ou un accident empêche le travailleur de prendre des vacances, l'absence n'est alors pas considérée comme des vacances et l'intéressé est en droit de les prendre ultérieurement (Favre/Munoz/Tobler, Le contrat de travail. Code annoté, 2 e éd., Lausanne 2010, n. 1.5 ad art. 329a CO, Rehbinder/Stöckli, Berner Kommentar, Berne 2010, n. 5 ad art. 329a CO). Tant que durent les rapports de travail, les vacances ne peuvent pas être remplacées par des prestations en argent ou d'autres avantages (art. 329d al. 2 CO). Le principe trouve aussi à s'appliquer pendant le délai de congé (ATF 106 II 152 c. 2, JT 1980 I 602). Il n'est toutefois pas absolu et connaît des exceptions lorsque l'employeur n'est plus en mesure d'exécuter sa prestation en nature (Favre/Munoz/Tobler, op. cit., n. 2.13 ad art. 329d CO). D'après la jurisprudence fédérale, des prestations en argent peuvent remplacer les vacances lorsque celles-ci ne peuvent être prises avant la fin des rapports de travail ou lorsqu'on ne peut exiger qu'elles le soient (ATF 128 III 271 c. 4a/aa, JT 2003 I 606). Si un employé a été libéré de l'obligation de travailler pendant la durée du délai de congé, l'employeur ne peut imposer au travailleur en recherche d'emploi la compensation des vacances avec le temps de la libération de l'obligation de travailler que dans la mesure où il existe une proportion raisonnable entre la durée de l'obligation de travailler et le nombre de jours de vacances à prendre (Subilia/Duc, op. cit., n. 20 ad art. 329d CO; Rehbinder/Stöckli, op. cit., n. 17b ad art. 329d CO). Toutefois, la seule libération de l'obligation de travailler n'entraîne pas ipso facto la compensation des jours de vacances, même si celle-ci s'avère admissible: dans l'hypothèse où le travailleur n'a pas souhaité lui-même prendre des vacances, il incombe bien plutôt à l'employeur d'en fixer la date et d'ordonner qu'elles soit prises en nature (Rehbinder/Stöckli, op. cit., n. 17b ad art. 329d CO et la jurisprudence zurichoise citée). b)              En l'occurrence, il est constant que le demandeur avait droit à 32 jours de vacances par an, soit 6.4 semaines. Il subsistait un solde de vacances de 7.5 jours pour l'année 2005. Du 1 er janvier au 30 juin 2006 – date à laquelle le contrat a pris fin –, il avait droit à</w:t>
      </w:r>
    </w:p>
    <w:p>
      <w:r>
        <w:rPr>
          <w:b/>
        </w:rPr>
        <w:t>E. 16</w:t>
      </w:r>
    </w:p>
    <w:p>
      <w:r>
        <w:t>jours de vacances. c)              A cause de sa maladie, le demandeur a été empêché de prendre des vacances jusqu'au 31 mai 2006. La question de savoir si la défenderesse pouvait exiger de lui qu'il consacre à ses vacances les 21 jours ouvrables que comptait le mois de juin 2007 – ce qui paraît difficilement justifiable, au regard des principes exposés ci-dessus – peut demeurer indécise en l'espèce. En effet, la défenderesse n'a pas allégué ni a fortiori établi qu'elle avait invité le demandeur à prendre ses vacances durant le délai de congé et la période où il était libéré de l'obligation de travailler, de sorte que le demandeur a droit au paiement de ses 23.5 jours de vacances non prises. d)              Le salaire afférent aux vacances comprend le salaire de base, qu’il soit fixe ou variable, mais également les autres modes de rémunération complémentaires ayant un caractère durable, comme les allocations familiales, les indemnités de résidence, le treizième salaire, les provisions, les commissions, la participation au chiffre d’affaire, ainsi que, dans certains cas, les pourboires et le remboursement des frais (Rehbinder/Stöckli, op. cit., n. 2 ad art. 329d CO). La doctrine a développé des équations permettant de calculer exactement le salaire afférent aux vacances (Cerottini, op. cit., pp. 147 ss). e)              En l'espèce, le salaire annuel de référence du demandeur était de 142'570 francs (139'930 fr. de salaire brut, auquel s'ajoutent les douze "allocations professionnelles 2" de 220 francs). Le salaire afférent aux 6.4 semaines de vacances auxquelles il avait droit annuellement est de 20'009 fr. 80 ([6.4 / 45.6] x 142'570). Par conséquent, le solde de vacances de 23.5 jours doit être indemnisé à concurrence de 14'694 fr. 70 ([23.5 x 20'009.8] / 32). Dans cette mesure, les conclusions du demandeur doivent être accueillies. f)              Lorsque le contrat de travail a pris fin en raison d'un licenciement, la mise en demeure de l'employeur (art. 102 al. 2 CO) n'est pas nécessaire: les intérêts moratoires de 5 % l'an (art. 104 al. 1 CO) sont dus dès l'échéance du délai de congé (Favre/Munoz/Tobler, op. cit., n. 1.1 ad art. 339 CO et les arrêts cités). En l'occurrence, le délai de congé est échu le 30 juin 2006. Aussi la créance en paiement du salaire afférent aux vacances portera-t-elle intérêt à 5 % l'an dès le lendemain. XII. Le demandeur réclame enfin le paiement d'un montant de 2'870 fr. 30 au titre des heures supplémentaires qu'il dit avoir effectuées durant l'année 2005, en semaine et le samedi (chef de conclusions n o IX). a)              Suivant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 Selon la jurisprudence, il appartient au travailleur d'établir qu'il a accompli des heures supplémentaires. La simple preuve que le travail correspondant a été effectué ne suffit pas; il faut encore établir que ce travail constitue des heures supplémentaires au sens de l'art. 321c CO, savoir que la prestation supplémentaire était nécessaire à la sauvegarde des intérêts légitimes de l'employeur. Si celui-ci les ordonne, cela établit ce caractère. Il en est de même s'il en a connaissance, qu'il ne proteste pas et que le travailleur ait pu déduire de ce silence que lesdites heures étaient approuvées (TF 4C.92/2004 du 13 août 2004 c. 3.2; TF 4C.110/2000 du 9 octobre 2000 c. 1a/aa; ATF 116 II 69 c. 4b, JT 1190 I 384 [rés.]). Tel est le cas lorsque l'employeur met en œuvre un système de contrôle des heures de travail, qui lui permet d'avoir en tout temps une image des heures supplémentaires accomplies (TF 4C.133/2000 du 8 septembre 2000 c. 3b). Quant à l'application analogique de l'art. 42 al. 2 CO à l'établissement des heures supplémentaires, si le procédé est admis par la jurisprudence, celle-ci a toutefois précisé qu'il ne doit pas aboutir à un renversement du fardeau de la preuve. La partie à qui incombe ce fardeau doit alléguer et prouver toutes les circonstances qui parlent en faveur de l'existence de sa prétention et permettent de l'évaluer, dans la mesure où cela est possible et où l'on peut l'attendre d'elle (ATF 128 III 271 c. 2b/aa, JT 2003 I 606; ATF 122 III 219 c. 3a et références, JT 1997 I 246). La conclusion que les heures supplémentaires ont été réellement effectuées dans la mesure alléguée doit s'imposer au juge avec une certaine force (TF 4C.92/2004 précité et référence; Wyler, op. cit., p. 125). A suivre la doctrine, enfin, les relevés personnels du travailleur ne constituent pas une preuve des heures supplémentaires. Toutefois, s'ils sont fournis régulièrement (quotidiennement ou mensuellement) à l'employeur, ils constituent un moyen de preuve approprié, quand bien même ils n'ont pas été contresignés par ce dernier (Wyler, op. cit., p. 126 et références; Portmann, Basler Kommentar, n. 6 ad art. 321c CO, p. 1783). b)              Le demandeur n'a pas allégué que la défenderesse lui a ordonné d'accomplir des prestations en sus des heures de travail réglementaire, ni même que, à défaut, ces prestations étaient objectivement nécessaires à l'entreprise. On ignore d'ailleurs à quelles occasions et pour quels travaux il aurait été amené à effectuer les heures supplémentaires qu'il allègue. Certes, celles-ci ressortent des fiches de travail qu'il a produites. Toutefois, ces documents ne sont pas contresignés par son supérieur hiérarchique, et le demandeur n'a pas démontré qu'il les lui aurait régulièrement soumis, ce qui les prive de force probante, comme il a été dit. En définitive, rien ne permet de se convaincre que le demandeur a réellement effectué les heures supplémentaires dont il réclame la rétribution. La prétention correspondante sera donc rejetée. XIII. Au premier chef de ses conclusions reconventionnelles, la défenderesse exige du demandeur le paiement d'une somme de 100'000 fr., à titre de réparation du dommage que le demandeur lui aurait occasionné en refusant de signer, en qualité de co-inventeur, les documents requis dans le cadre de l'entrée de la demande [...] en phase nationale au Etats-Unis, au Canada et en Inde. a)              Le travailleur répond du dommage qu'il cause à l'employeur intentionnellement ou par négligence (art. 321e CO). La responsabilité du travailleur suppose la réunion des quatre conditions usuelles, savoir: l'existence d'un dommage, la violation par l'employé de ses obligations contractuelles, l'existence d'un rapport de causalité naturelle et adéquate, ainsi qu'une faute (Wyler, op. cit., p. 138). Cette dernière est présumée, alors qu'il appartient à l'employeur de prouver la violation du contrat, le dommage et le lien de causalité entre celle-là et celui-ci (Subilia/Duc, op. cit., n. 6 ad art. 321e CO). b)              La Cour civile a constaté que le demandeur a refusé de signer les documents requis dans le cadre de l'entrée en phase nationale aux Etats-Unis, au Canada et en Inde de la demande internationale. En revanche, la défenderesse n'a pas prouvé que ce refus lui aurait occasionné un quelconque dommage. Certes, l'obstruction du demandeur est susceptible d'entraîner une procédure plus coûteuse – de l'ordre de 15'000 fr. à 20'000 fr. –, voire la perte des droits, notamment selon le système en vigueur aux Etats-Unis. Il n'a pas été allégué, toutefois, que la défenderesse a perdu ses droits au brevet ne serait-ce que dans un des pays susmentionnés, ni qu'elle a effectivement dû engager des frais supplémentaires pour pallier le refus du demandeur. La prétention en réparation du dommage s'avère infondée pour ce motif déjà, sans qu'il soit nécessaire d'examiner si les autres conditions de la responsabilité du demandeur sont réunies. XIV. La défenderesse conclut enfin à ce que la mention du demandeur en qualité d'inventeur de l'invention faisant l'objet de la demande de brevet [...] soit supprimée dans tous les documents relatifs à la délivrance des brevets découlant de cette demande internationale. La Cour de céans peut connaître des litiges concernant la désignation de l'inventeur dans un brevet européen (art. 62 CBE; règle 20 al. 2 du Règlement d'exécution de la convention sur le brevet européen approuvé le 7 décembre 2006 [RS 0.232.142.21]; Mathély, op. cit., pp. 175 ss). Point n'est besoin d'examiner si elle l'est aussi s'agissant de brevets devant être enregistrés dans un Etat qui n'est pas partie à la CBE, dans la mesure où aucune demande n'y est actuellement pendante. a)              Le droit d'être mentionné comme inventeur au registre des brevets et dans les documents du brevet constitue un des droits élémentaires de l'inventeur (art. 5 LBI et 62 CBE; Troller, op. cit., p. 228). Il fait partie des droits de la personnalité de l'inventeur et, comme tel, est indépendant du droit à la délivrance du brevet (Pedrazzini/Hilti, op. cit., p. 224). b)              La question de savoir si la défenderesse est légitimée à disputer au demandeur sa qualité d'inventeur, quand bien même elle ne saurait revendiquer, pour elle-même, personne morale, une telle qualité, peut demeurer indécise. Il est établi, en effet, que la demande internationale englobe les propositions déduites des dessins du demandeur, même si elle présente également d'autres modes de réalisation, non évoqués par celui-ci. Si le brevet correspondant à la demande [...] devait être délivré, il reposerait sur une contribution majeure du demandeur ( supra , ch. 27g). Partant, celui-ci a le droit d'être mentionné en qualité d'inventeur au registre des brevets et dans les documents du brevet. Même supposé recevable, ce chef de conclusions reconventionnelles ne peut qu'être rejeté. XV. a) Selon l'art. 92 al. 1 CPC-VD, des dépens sont alloués à la partie qui obtient gain de cause. Le juge doit rechercher lequel des plaideurs gagne le procès sur le principe, et non pas répartir les dépens proportionnellement aux montants alloués (Poudret/Haldy/Tappy, Procédure civile vaudoise, Lausanne 2002, n. 3 ad art. 92 CPC-VD). Les dépens comprennent principalement les frais de justice payés par la partie, les honoraires et les débours de son avocat (art. 91 litt. a et c CPC). Les frais de justice englobent l'émolument de justice, ainsi que les frais de mesures probatoires. Selon le tarif du 17 juin 1986 des honoraires d'avocat dus à titre de dépens (TAv, abrogé par l'entrée en vigueur, le 1 er janvier 2011, du tarif des dépens en matière civile du 23 novembre 2010 [TDC; RSV 270.11.6], mais qui demeure applicable en vertu de l'art. 26 al. 2 TDC), les honoraires d'avocat sont fixés en considération des difficultés de la cause et de la complexité des questions de fait et de droit débattues (art. 3 TAv), entre les minima et les maxima arrêtés pour chaque opération à l'art. 2 al. 1 TAv. Lorsque, comme en l'espèce, la valeur litigieuse excède 800'000 fr., le maximum est quadruplé (art. 4 al. 2 TAv). En plus des honoraires de l'avocat, les dépens comprennent les frais et les émoluments de l'office payés par la partie, ainsi que les déboursés d'avocat arrêtés globalement (art. 7 TAv). b)              En l'occurence, la défenderesse triomphe sur le principe de ses conclusions libératoires, le demandeur n'obtenant gain de cause que sur un point très secondaire. D'autre part, le demandeur s'est opposé avec succès aux conclusions reconventionnelles de la défenderesse, lesquelles ne représentaient toutefois pas l'enjeu principal du procès. En définitive, compte tenu de l'importance respective des questions litigieuses, la défenderesse a droit à des dépens réduits d'un neuvième, qu'il convient d'arrêter à 78'208 fr. 80, savoir: a) 40'000 fr. à titre de participation aux honoraires de son conseil; b) 2'000 fr. pour les débours de celui‑ci; c) 36'208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