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38 vom 18. Februar 2011</w:t>
      </w:r>
    </w:p>
    <w:p>
      <w:r>
        <w:t>VD Tribunal cantonal, 2011-02-18, FR</w:t>
      </w:r>
    </w:p>
    <w:p>
      <w:r>
        <w:rPr>
          <w:b/>
        </w:rPr>
        <w:t xml:space="preserve">Quelle: </w:t>
      </w:r>
      <w:r>
        <w:t>https://mcp.opencaselaw.ch/entscheid/vd_findinfo_Jug___2011___38</w:t>
      </w:r>
    </w:p>
    <w:p>
      <w:r>
        <w:t>FR: VD_FINDINFO Jug / 2011 / 38 du 18 février 2011</w:t>
      </w:r>
    </w:p>
    <w:p>
      <w:r>
        <w:t>IT: VD_FINDINFO Jug / 2011 / 38 del 18 febbraio 2011</w:t>
      </w:r>
    </w:p>
    <w:p>
      <w:pPr>
        <w:pStyle w:val="Heading2"/>
      </w:pPr>
      <w:r>
        <w:t>Regeste</w:t>
      </w:r>
    </w:p>
    <w:p>
      <w:r>
        <w:t>ARRANGEMENT DE MADRID CONCERNANT L'ENREGISTREMENT INTERNATIONAL DES MARQUES, PROTECTION DES MARQUES, REGISTRE DES MARQUES, NOTORIÉTÉ, PRINCIPE DE LA TRANSPARENCE{SOCIÉTÉ}, CLAUSE PÉNALE | 53 CO, 620 al. 2 CO, 109 al. 1 LDIP, 109 al. 2 LDIP, 110 al. 1 LDIP, 112 LDIP, 6 al. 1 LDIP, 74 LOJV, 18 LPM, 3 al. 1 LPM, 55 al. 1 let. a LPM, 55 al. 1 let. b LPM, 55 al. 1 let. c LPM, 58 al. 3 LPM, 404 CPC (CH)</w:t>
      </w:r>
    </w:p>
    <w:p>
      <w:pPr>
        <w:pStyle w:val="Heading2"/>
      </w:pPr>
      <w:r>
        <w:t>Erwägungen</w:t>
      </w:r>
    </w:p>
    <w:p>
      <w:r>
        <w:rPr>
          <w:b/>
        </w:rPr>
        <w:t>E. 3</w:t>
      </w:r>
    </w:p>
    <w:p>
      <w:r>
        <w:t>de la loi sur l'organisation judiciaire du 12 décembre 1979 (ci-après: OJV; RSV 173.01) désigne à ce titre la Cour civile. Ces deux dispositions, respectivement abrogée et modifiée par l'entrée en vigueur du Code de procédure civile du 19 décembre 2008 (ci-après: CPC; RS 272), qui maintient la compétence d'une instance cantonale unique en  matière de propriété intellectuelle (art. 5 al. 1 let. a CPC), demeurent applicables à la présente cause en vertu de l'art. 404 al. 1 CPC. La cour de céans est dès lors compétente ratione materiae . Il en va de même des prétentions dirigées contre le défendeur G.________ sur la base du contrat du 19 février 1999. En effet, l'art. 112 LDIP prévoit que l es tribunaux suisses du domicile ou, à défaut de domicile, ceux de la résidence habituelle du défendeur sont compétents pour connaître des actions découlant d’un contrat. De surcroît, le défendeur a procédé au fond sans faire de réserve, de sorte que la cour de céans est également compétente pour traiter du présente litige pour ce motif (art. 6 al. 1 LDIP). b) L es droits de la propriété intellectuelle sont régis par le droit de l’Etat pour lequel la protection est revendiquée (art. 110 al. 1 LDIP). Il ne s'agit pas de la loi du for, mais de la loi du ou des pays sur le territoire desquels se produisent les violations (Cherpillod, Le droit suisse des marques, Publication CEDIDAC n° 73, Lausanne 2007, p. 32 et les références citées). Si les violations se produisent sur le territoire de plusieurs pays, on appliquera la loi de chacun de ces pays pour les différents actes. Certains actes peuvent cependant relever de plusieurs lois: ainsi, l'exportation depuis la Suisse tombe sous le coup de la LPM, mais elle sera aussi traitée, dans le pays d'importation, comme un acte d'importation qui tombe sous le coup de la loi de ce pays-ci. Il découle de l'art. 110 LDIP que le demandeur, en revendiquant la protection de la propriété intellectuelle pour un pays donné, soumet les droits y relatifs à la législation de celui-ci (Dutoit, Commentaire de la loi fédérale du 18 décembre 1987, 4 ème édition, 2005, n. 1 ad art. 110 LDIP). C'est la loi de l'Etat protecteur qui définira ensuite son champ d'application territorial et régira, plus généralement, toutes les questions juridiques qui se posent, comme celle de l'éventuelle violation des droits de propriété intellectuelle (ATF 136 III 232 c. 5 et les références citées). En l'espèce, la fabrication litigieuse a eu lieu dans les locaux de l'entreprise R.________ SA à Aigle, en Suisse, d'où partaient les produits destinés à l'exportation. Les demanderesses fondent leurs prétentions en cessation sur la LPM. Elles ont donc choisi l'application du droit suisse aux cas allégués de violation de leurs droits de propriété intellectuelle, de sorte que la LPM est applicable au présent litige. Quant aux prétentions fondées sur une violation du contrat du 19 février 1999, il faut rappeler que celui-ci a été conclu entre deux sociétés de droit suisse dont le siège était, au moment de la conclusion du contrat, en Suisse, plus particulièrement à Cologny pour D.________ Sàrl et à Aigle pour R.________ SA. Le litige ne présente dès lors pas, à cet égard, d'élément d'extranéité. Par ailleurs, l'art. 122 LDIP relatif aux contrats portant sur la propriété intellectuelle ne s'appliquerait de toute manière pas en l'espèce, le contrat litigieux ne constituant pas un tel contrat. Le droit suisse est dès lors applicable également à cet aspect du litige. II. Selon l'art. 4 CPC-VD (Code de procédure civile du 14 décembre 1966; RSV 270.11), qui reste applicable à la présente procédure (art. 404 al. 1 CPC), le juge ne peut fonder son jugement sur d'autres faits que ceux qui ont été allégués dans l'instance et qui ont été soit admis par les parties, soit établis au cours de l'instruction selon les formes légales (al. 1). Toutefois, il peut tenir compte de faits notoires, non particulier à la cause, ainsi que des faits patents, implicitement admis par les parties et non allégués par inadvertance manifeste. En outre, il peut tenir compte de faits révélés par une expertise écrite (al. 2). En vertu du principe de la primauté du droit fédéral (art. 49 al. 1 Cst [Constitution fédérale de la Confédération suisse du 18 avril 1999; RS 101]), la notion de fait notoire doit être interprétée, déjà avant l'entrée en vigueur du CPC (qui la consacre à son art. 151), conformément aux principes généraux de la procédure civile. Selon la doctrine, les faits notoires, qui n'ont pas à être allégués, sont ceux dont l'existence est certaine au point d'emporter la conviction du public ou seulement du juge (Hohl, Procédure civile, tome I, 2001, n. 945; Steinauer, Le Titre préliminaire du Code civil, Traité de droit privé suisse Il/1, 2009, n. 626). Le Tribunal fédéral a précisé que, pour être notoire, un renseignement ne doit pas être constamment présent à l'esprit: il suffit qu'il puisse être contrôlé par des publications accessibles à chacun. Ainsi, les faits résultant du R egistre du commerce ont été considérés comme étant notoires (cf. notamment TF 5A_65/2008 du 15 décembre 2008 c. 2.1). Il en a été jugé de même du taux de conversion des monnaies, qui peut être contrôlé sur Internet, par des publications officielles et dans la presse écrite (TF 5A_62/2009 du 2 juillet 2009 c. 2.1). Les indications figurant au registre des marques de l'IFPI sont disponibles gratuitement via le site Internet "www.swissreg.ch". Le nom ou le numéro de la marque permettent à chacun de consulter l'état des inscriptions relatives à une marque, soit notamment son statut, son titulaire, les dates de dépôt, d'enregistrement, d'échéance, les produits qu'elle couvre et l'existence ou non d'une procédure d'opposition. A l'aune de la jurisprudence qui précède, la cour de céans considère que ces indications doivent être considérées comme des faits notoires, qu'il n'est donc pas nécessaire d'alléguer ni de prouver (ATF 130 III 113 c. 3.4, JT 2004 I 296). En l'espèce, le chiffre 3 de l'état de fait intègre, en rapport avec les marques Z.________, P.________ et Q.________, certains faits non allégués par les parties mais notoires, car résultant du registre des marques de l'IFPI. III. La personne qui subit ou risque de subir une violation de son droit à la marque ou à une indication de provenance peut demander au juge de l'interdire si elle est imminente, de la faire cesser si elle dure encore ou d’exiger de l’autre partie qu’elle indique la provenance des objets sur lesquels la marque ou l’indication de provenance ont été illicitement apposées et qui se trouvent en sa possession (art. 55 al. 1 let a, b et c LPM). L'action appartient à celui qui est titulaire du droit à la marque dont la violation est invoquée. En principe, seule est légitimée au procès la partie qui est personnellement titulaire d'un droit ou contre laquelle personnellement le droit est exercé (SJ 1995 p. 212). La défaut de légitimation – active ou passive – est une objection que le juge doit retenir d'office. En l'espèce, les demanderesses font valoir qu'en leur qualité de titulaire de marques au sens de la LPM, elles bénéficient de la protection accordée par cette loi. Le défendeur soutient en revanche que les demanderesses ne sont pas titulaires des droits sur les marques P.________, Z.________ et Q.________. a) La protection conférée par la LPM ne déploie ses effets que sur le territoire suisse. Selon le principe de la territorialité, chaque Etat détermine, pour son propre territoire, les conditions de l'acquisition et de la perte d'un droit de propriété intellectuelle, ainsi que sa cessibilité, son contenu et ses effets (RSPI 1992 p. 248). Par conséquent, l'existence d'un droit de propriété intellectuelle à l'étranger ne permet pas de fonder une protection en Suisse, et vice versa . Ainsi, un enregistrement de marque suisse (ou de marque internationale désignant la Suisse) produit ses effets sur le territoire suisse (RSPI 1992 p. 248; Cherpillod, op. cit., p. 31). Le droit exclusif à la marque prend naissance par l'enregistrement (art. 5 LPM). Il faut cependant que la marque soit valable. L'enregistrement de la marque a lieu sans garantie quant à sa validité: la nullité d'une marque enregistrée nonobstant l'existence d'un motif absolu (art. 2 LPM) ou relatif (art. 3 LPM) peut toujours être constatée judiciairement (Cherpillod, op. cit., p. 147). La durée de l'enregistrement est de dix ans dès la date du dépôt (art. 10 LPM). Le droit à la marque appartient à celui qui la dépose en premier (art. 6 LPM). Il faut également que la marque ait été utilisée de manière ininterrompue pendant cinq ans en relation avec les produits ou les services enregistrés (art. 11 et 12 LPM). Une marque de fabrique ou de commerce sera valablement utilisée lorsqu'elle est apposée sur les produits ou leur emballage, ou lorsqu'elle est utilisée d'une autre manière propre à établir un lien entre la marque et les produits (Sic! 2006 p. 860). La marque doit être utilisée telle qu'elle a été enregistrée ou sous une forme qui ne diffère pas de l'enregistrement par des éléments essentiels (art. 11 al. 2 LPM). L'usage doit être sérieux (sur cette notion, cf. Cherpillod, op. cit., pp. 191 et 192). Il doit avoir lieu en Suisse, mais il n'est pas nécessaire qu'il ait lieu sur tout le territoire suisse (ATF 102 II 116, JT 1977 I 510). La jurisprudence relative à l'usage pour l'exportation a évolué. Dans un arrêt de 1989 (ATF 115 II 387, SJ 1990 p. 54; confirmé notamment par TF 4A_529/2008 du 9 mars 2009 c. B.b.a), le Tribunal fédéral a considéré que l'exportation d'un produit revêtu d'une marque contrefaite ou imitée constituait un usage illicite fait en Suisse d'une marque protégée en Suisse. Cela concerne toutefois l'usurpateur et non celui qui revendique la protection de la LPM. En revanche, dans ce même arrêt, le Tribunal fédéral a laissé indécise la question de savoir si l'apposition d'une marque sur un produit voué exclusivement au marché étranger constituait une mise en circulation suffisante pour donner un droit à cette marque et à la protection qui en découle. L'art. 11 al. 2 LPM codifie cette jurisprudence et précise désormais que l'usage pour l'exportation est suffisant. Il faut toutefois que la marque soit utilisée en relation avec les produits ou services offerts de Suisse; l'usage uniquement à l'étranger ne suffit pas (Sic! 2004 p. 420 cité in Cherpillod, op. cit., p. 192). La conséquence du non-usage de la marque pendant une période ininterrompue de cinq ans est que le titulaire ne peut plus faire valoir son droit à la marque, à moins que le défaut d'usage ne soit dû à un juste motif (art. 12 al. 1 LPM). Cette déchéance produit ses effets ipso jure : en cas d'action en nullité, le juge ne fait que constater la nullité (Cherpillod, op. cit., p. 194). Quiconque invoque le défaut d'usage doit le rendre vraisemblable; il appartient alors au titulaire de rapporter la preuve de l'usage (art. 12 al. 3 LPM). Un transfert de la marque est possible (art. 17 al. 1 LPM). Il n'est valable qu'en la forme écrite. Il n'a d'effet à l'égard des tiers de bonne foi qu'après son enregistrement (art. 17 al. 2 LPM). Pour les marques internationales, l'art. 1 de l'Arrangement de Madrid concernant l'enregistrement international des marques révisés à Stockholm le 14 juillet 1967 (ci-après: Arrangement de Madrid; RS 0.232.112.3) prévoit une protection réciproque entre les Etats contractants pour les marques inscrites dans ces Etats. L'art. 2 du Protocole relatif à l'Arrangement de Madrid concernant l'enregistrement international des marques du 27 juin 1989 (ci-après: le Protocole de Madrid; RS 0.232.112.4) permet à tout déposant d'une marque de s'assurer la protection de celle-ci sur le territoire des parties contractantes, en obtenant l'enregistrement de cette marque dans le registre du Bureau international de l'Organisation Mondiale de la Propriété Intellectuelle (ci-après: OMPI). Ces deux textes internationaux imposent à leur art. 3 que la demande d'enregistrement soit présentée sur le formulaire prescrit par le Règlement d'exécution commun à l'Arrangement de Madrid concernant l'enregistrement international des marques et au protocole relatif à cet arrangement du 18 janvier 1996 (ci-après: Règlement d'exécution de l'Arrangement de Madrid; RS 0.232.112.21). Tous les Etats signataires de ces textes ont déclaré, conformément aux art. 3 bis de ces deux textes, que la protection résultant de l'enregistrement international ne s'étendait à eux que si le titulaire de la marque le demandait expressément. La Suisse, la France et l'Italie sont signataires de l'Arrangement de Madrid et du Protocole de Madrid. Les Etats-Unis et le Royaume-Uni sont parties uniquement au Protocole de Madrid. La Grande-Bretagne et la Suisse sont par ailleurs liées par une déclaration pour la protection réciproque des marques de fabrique et de commerce signée à Berne le 6 novembre 1880 (ci-après: Déclaration de Berne; RS 0.232.112.936.7) qui étend la protection accordée à une marque dans un de ces pays à l'autre pays également, à condition que les formalités requises par les lois des pays respectifs soient remplies. b) En l'espèce, la demanderesse D.________ Sàrl a déposé en Suisse les marques Z.________, P.________ et Q.________ respectivement les 20 janvier 1998, 4 novembre 1998 et 7 décembre 1998. Elle a été enregistrée comme titulaire en Suisse de ces marques, de classification internationale n° 3 pour P.________, n° 3 et 5 pour Z.________ et n° 3, 5 et 16 pour Q.________. Selon la convention du 1 er janvier 2003 et l'acte de cession du 2 janvier 2003, D.________ Inc. a cédé la marque Z.________ à Y.________ Ltd. Il apparaît dès lors que les demanderesses ne sont plus titulaires de cette marque depuis cette date. Au demeurant, il est établi que la marque Z.________ a été radiée pour cause de non-prolongation le 9 mars 2009 du registre des marques Swissreg; les demanderesses n'en sont donc plus les titulaires en Suisse. La marque verbale et figurative Q.________ (n° [...]) a été valablement cédée le 31 mai 2000 à D.________ Inc. par D.________ Sàrl. Figure également au registre des marques Swissreg une marque uniquement verbale Q.________ (n° [...]) qui a pour titulaire Y.________ Ltd et qui a été déposée postérieurement à la marque n° [...], soit le 3 avril 2007. Le registre des marques Swissreg ne fait état d'aucune opposition à l'inscription de la marque n° [...]. Force est donc de constater qu'il y a en Suisse deux marques correspondant à l'appellation Q.________ et leur titularité diverge. Quoiqu'il en soit, la demanderesse D.________ Inc. est titulaire de l'une des marques Q.________ déposées en Suisse. Quant à la marque P.________, l'instruction a permis d'établir qu'elle a été valablement cédée le 31 mai 2000 par D.________ Sàrl à D.________ Inc., de sorte que cette dernière en est titulaire en Suisse à ce jour. c) Le défendeur allègue que les demanderesses ne bénéficient de la priorité d'usage pour aucune des marques litigieuses et invoque ainsi un motif relatif d'exclusion au sens de l'art. 3 al. 1 LPM. Comme indiqué plus haut (cf. cons. III a), l'enregistrement en Suisse n'est pas une garantie de la validité de la marque. Toutefois, selon l'art. 3 al. 3 LPM, seul le titulaire de la marque antérieure peut invoquer les motifs de refus (Troller, Précis du droit suisse des biens immatériels, 2 ème éd., p. 83). Ainsi, le défendeur ne peut pas s'en prévaloir pour faire échec à l'action des demanderesses qui se prétendent titulaires des marques litigieuses, puisqu'il n'est lui-même titulaire d'aucune de ces marques. Le moyen est ainsi mal fondé. Par surabondance, il est établi que les marques P.________, Z.________ et Q.________ ont été déposées et enregistrées dans d'autres pays avant d'être déposées en Suisse par D.________ Sàrl. Ainsi, la société C.________ Ltd est titulaire au Royaume-Uni de la marque P.________ déposée le 9 mai 1991 et enregistrée le 29 décembre 1995. Toutefois, il n'est pas établi que cet enregistrement ait eu lieu conformément au Protocole de Madrid et sur le formulaire idoine prescrit par le Règlement d'exécution de l'Arrangement de Madrid, de sorte que le dépôt de cette marque au Royaume-Uni ne déploie aucun effet en Suisse. La solution est d'ailleurs la même si l'on applique la Déclaration de Berne, le défendeur n'ayant ni allégué, ni établi que la société C.________ Ltd aurait rempli les conditions à l'enregistrement de cette marque en Suisse. La marque Z.________ a été inscrite le 15 octobre 1997 en tant que marque internationale au sens de l'Arrangement de Madrid par la société italienne X.________ S.R.L., alors qu'elle n'a été déposée que le 20 janvier 1998 par la demanderesse D.________ Sàrl. Cette inscription n'a toutefois été expressément étendue qu'à l'Espagne, la France et le Maroc. En vertu de la réserve formulée par la Suisse aux art. 3 bis de l'Arrangement de Madrid et du Protocole de Madrid, l'enregistrement de cette marque internationale par X.________ S.R.L. ne déploie aucun effet en Suisse, faute pour le déposant de l'avoir expressément demandé. En ce qui concerne la marque Q.________, elle a été déposée en Suisse le 7 décembre 1998, alors qu'il ressort du jugement rendu le 8 juillet 2004 par la Cour d'appel des marques du Bureau américain des brevets et des marques qu'elle bénéfice d'une priorité d'utilisation depuis le mois d'octobre 1997 par la société X.________ S.R.L.. Le jugement en question constate cependant que cette utilisation n'est intervenue que sur le territoire des Etats-Unis. Rien ne permet de penser qu'il en est allé de même en Suisse depuis la même date. D'ailleurs, le défendeur n'allègue et n'établit pas que la marque Q.________ a fait l'objet d'un enregistrement international au sens de l'Arrangement de Madrid ou du Protocole de Madrid et que cet enregistrement a été expressément étendu par le déposant au territoire suisse; la priorité d'usage accordée à X.________ S.R.L. aux Etats-Unis ne déploie donc aucun effet en Suisse. Pour ces motifs également, les arguments du défendeur relatifs à la priorité d'usage des marques litigieuses doivent être écartés. d) Le défendeur fait valoir que les demanderesses n'ont jamais utilisé les marques litigieuses en Suisse, de sorte qu'elles ne sauraient se prévaloir de la protection accordée par la LPM. Il n'est certes pas établi que les demanderesses aient commercialisé ou mis en circulation en Suisse des produits des marques P.________, Z.________ ou Q.________. Selon le contrat du 19 février 1999, la demanderesse D.________ Sàrl a confié à R.________ SA, dont le siège était à Aigle, la fabrication de produits cosmétiques ethniques destinés aux marchés des continents européen, américain et africain. R.________ SA ne devait livrer et vendre les produits fabriqués qu'à la demanderesse, qui disposait d'un droit de vente exclusif. Il apparaît donc que les produits ont bien été fabriqués en Suisse et ont été exportés par D.________ Sàrl vers l'étranger, ce que le défendeur ne conteste pas et ce qui est confirmé par le jugement pénal. Le contrat ne mentionne toutefois aucune marque de produits. Les demanderesses se fondent sur les états de fait des jugements pénaux rendus à l'encontre du défendeur pour établir que celui-ci produisait des cosmétiques portant le nom des trois marques litigieuses. Ces faits peuvent être considérés comme établis au regard de l'art. 53 CO (Code des obligations du 30 mars 1911, RS 220), l'instruction de la présente cause n'ayant mis en évidence aucun fait qui contredirait sur ce point les constatations du juge pénal. Le défendeur ne s'en prévaut d'ailleurs pas. Les demanderesses établissent donc qu'au moment où elles ont ouvert la présente action, le 16 août 2001, elles avaient utilisé les marques litigieuses dans le courant de l'année précédente, soit en tout cas jusqu'au 8 février 2000, date à laquelle le contrat les liant au défendeur a été résilié. Il n'est certes pas établi que D.________ Inc. a utilisé en Suisse la marque Q.________. Toutefois, en qualité de cessionnaire, elle peut se prévaloir de l'utilisation qu'en a fait la cédante D.________ Sàrl. e) En définitive, la demanderesse D.________ Inc. est titulaire, à l'exclusion de la demanderesse D.________ Sàrl, de la marque figurative et verbale Q.________ enregistrée en Suisse (n° [...]) et de la marque P.________. Les demanderesses n'établissent en revanche pas être encore titulaires de la marque Z.________, celle-ci ayant été radiée, comme exposé ci-dessus. La demanderesse D.________ Inc. est donc seule légitimée activement pour se prévaloir de la protection accordée par la LPM pour les marques P.________ et Q.________. Le défendeur, que les demanderesses désignent comme auteur d'une violation de leurs droits aux marques litigieuses, a la légitimation passive. IV.a) D'une manière générale, le droit à la marque confère au titulaire le droit exclusif de faire usage de la marque pour distinguer les produits ou les services enregistrés et d'en disposer (art. 13 al. 1 LPM). Il s'agit d'un droit absolu en ce sens qu'il est opposable à tous (Cherpillod, op. cit., p. 169). En vertu de l'art. 13 al. 2 LPM, le titulaire de la marque peut interdire d'user des signes dont la protection est exclue en vertu de l'art. 3 al. 1 LPM, en particulier les signes identiques à une marque antérieure et destinés à des produits ou services identiques (let. a). Il peut notamment interdire d'utiliser le signe concerné pour offrir des produits, les mettre dans le commerce ou les détenir à cette fin (art, 13 al. 1 let. b LPM) ou pour importer ou exporter des produits (let. d). Dans ce dernier cas, le Tribunal fédéral a admis que celui qui envoie à l'étranger des marchandises revêtues illégalement d'une marque commet un acte illicite. Peu importe à cet égard que les produits soient exportés vers un pays où la marque n'est pas protégée; il suffit qu'ils soient expédiés depuis la Suisse (ATF 115 II 387, JT 1990 I 602 précité; Cherpillod, op. cit., p. 173). A teneur de l'art. 18 al. 1 LPM, le titulaire de la marque peut autoriser des tiers à l’utiliser sur l’ensemble ou sur une partie du territoire suisse pour tout ou partie des produits ou des services enregistrés. Une telle licence devient ainsi opposable à tout droit à la marque acquis postérieurement. L'élément essentiel du contrat de licence est la cession d'un bien immatériel en vue de son utilisation industrielle ou commerciale. Le titulaire des droits sur le bien immatériel garde la propriété de ceux-ci et n'en cède que les droits d'utilisation et d'exploitation. Il s'agit d'un contrat sui generis (Troller, op. cit., p. 294). En règle générale, les contrats de licence sont conclus pour une durée indéterminée de sorte que la fin du contrat n'éteint pas toutes les obligations des parties; il subsiste notamment une obligation du donneur de licence de reprendre les stocks et une interdiction du preneur de licence de faire concurrence au donneur pendant un certain temps. La résiliation déploie des effets ex nunc : jusqu'au moment où la cause de résiliation est survenue, le preneur a pu valablement exploiter le bien immatériel (ATF 116 II 196, rés. in JT 1990 I 596). Après la fin d'un contrat de licence portant sur des droits exclusifs, le preneur de licence doit cesser leur utilisation. A défaut de réglementation contractuelle, le preneur n'a pas le droit d'écouler le stock de marchandise fabriquée sous licence après le terme du contrat. En effet, à partir de ce moment, toute mise sur le marché, toute livraison à un client constitue une violation du droit exclusif de l'ayant droit (Troller, op. cit., pp. 298 et 299; Modiano, Le contrat de licence de brevet: droit suisse et pratique communautaire, Genève 1979, p. 119; Tercier/Favre, Les contrats spéciaux,</w:t>
      </w:r>
    </w:p>
    <w:p>
      <w:r>
        <w:rPr>
          <w:b/>
        </w:rPr>
        <w:t>E. 4</w:t>
      </w:r>
    </w:p>
    <w:p>
      <w:r>
        <w:t>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op. cit., n. 3 ad art. 92 CPC-VD). Obtenant partiellement gain de cause, les demanderesses ont droit, solidairement entre elles, à des dépens réduits de trois quarts, à la charge du défendeur, qu'il convient d'arrêter à 8'472 fr. 25, savoir : a) 5'000 fr. à titre de participation aux honoraires de son conseil; b) 250 fr. pour les débours de celui‑ci; c) 3'222 fr. 25 en remboursement du quart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