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37 vom 9. Februar 2006</w:t>
      </w:r>
    </w:p>
    <w:p>
      <w:r>
        <w:t>VD Tribunal cantonal, 2006-02-09, FR</w:t>
      </w:r>
    </w:p>
    <w:p>
      <w:r>
        <w:rPr>
          <w:b/>
        </w:rPr>
        <w:t xml:space="preserve">Quelle: </w:t>
      </w:r>
      <w:r>
        <w:t>https://mcp.opencaselaw.ch/entscheid/vd_findinfo_Jug___2011___37</w:t>
      </w:r>
    </w:p>
    <w:p>
      <w:r>
        <w:t>FR: VD_FINDINFO Jug / 2011 / 37 du 9 février 2006</w:t>
      </w:r>
    </w:p>
    <w:p>
      <w:r>
        <w:t>IT: VD_FINDINFO Jug / 2011 / 37 del 9 febbraio 2006</w:t>
      </w:r>
    </w:p>
    <w:p>
      <w:pPr>
        <w:pStyle w:val="Heading2"/>
      </w:pPr>
      <w:r>
        <w:t>Regeste</w:t>
      </w:r>
    </w:p>
    <w:p>
      <w:r>
        <w:t>LIBÉRATION CONDITIONNELLE | 86 CP, 26 LEP, 38 LEP</w:t>
      </w:r>
    </w:p>
    <w:p>
      <w:pPr>
        <w:pStyle w:val="Heading2"/>
      </w:pPr>
      <w:r>
        <w:t>Erwägungen</w:t>
      </w:r>
    </w:p>
    <w:p>
      <w:r>
        <w:rPr>
          <w:b/>
        </w:rPr>
        <w:t>E. 1</w:t>
      </w:r>
    </w:p>
    <w:p>
      <w:r>
        <w:t>a) L'art. 26 al. 1 let. a LEP (Loi sur l'exécution des condamnations pénales du 4 juillet,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L'art. 26 al. 2 LEP prévoit que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381 CPP, le ministère public peut interjeter recours tant en faveur qu'en défaveur du prévenu ou du condamné. b) En l'espèce, le recours est recevable puisqu'il a été interjeté en temps utile devant l'autorité compétente par le Procureur général qui a qualité pour recourir et satisfait aux conditions de forme posées par l'art. 385 al. 1 CPP.</w:t>
      </w:r>
    </w:p>
    <w:p>
      <w:r>
        <w:rPr>
          <w:b/>
        </w:rPr>
        <w:t>E. 2</w:t>
      </w:r>
    </w:p>
    <w:p>
      <w:r>
        <w:t>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3</w:t>
      </w:r>
    </w:p>
    <w:p>
      <w:r>
        <w:t>juin 2010, U.________ a en effet exposé que, pendant les six premiers mois de sa détention, il avait d'abord eu l'impression que c'était la faute de la victime. Après avoir effectué un travail sur lui-même, il avait compris que sa condamnation était due en très grande partie à sa propre faute (P. 7, p. 3). Le Dr [...], psychiatre effectuant le suivi ambulatoire du condamné, a relevé à ce sujet qu'U.________ reconnaissait la place de sa victime et s'efforçait de dissiper l'ambiguïté qui avait prévalu dans la relation qu'il avait entretenue avec elle durant des années (P. 18 et 20). Le docteur précité a également indiqué que le condamné adhérait à son traitement et semblait tirer bénéfice de celui-ci, puisqu'il était actif dans l'abord de ses problématiques et reconnaissait son délit (ibidem). Le Collège des Juges d'application des peines a lui-même reconnu dans le jugement attaqué que l'amendement, l'introspection et les regrets du condamné étaient apparus sincères lors de son audition le 3 juin 2010 (jugement, p. 6). Selon le jugement entrepris, le risque de réitération est élevé si U.________ ne peut pas terminer sa formation en Suisse. Les premiers juges considèrent également que le fait de laisser sortir de prison le condamné sans que l'on soit assuré d'une réadaptation sûre à son milieu d'origine est grave. Toutefois, il convient de relever tout d'abord que l'intéressé est déjà dans des conditions proches de la liberté puisqu'il suit sa scolarité à l'extérieur de l'établissement pénitentiaire et qu'il a été autorisé par l'Office d'exécution des peines à poursuivre l'exécution de sa peine sous le régime du travail et logement externes depuis le 23 septembre 2010 (P. 23). Si le risque de récidive était présent comme l'affirme les premiers juges, il ne fait aucun doute que le condamné n'aurait pas bénéficié de cette autorisation de travail et logement externes. Malgré ce que le défenseur du condamné affirme dans ses déterminations du 15 mars 2011, U.________ a lui-même affirmé lors de son audition du 3 juin 2010 qu'il pensait qu'il ne serait pas capable de commettre à nouveau un acte similaire (P. 7, p. 5). Il ressort au contraire de cette audition que l'intéressé souhaiterait rester en détention uniquement dans le but de finir sa formation et non pas parce qu'il a peur de commettre à nouveau un acte similaire (P. 7, p. 6). Il dit lui-même que "le plus important pour moi [est] de pouvoir terminer ma formation, quitte à ce que ma libération conditionnelle me soit refusée" (P. 7, p. 6, R 25). Comme le relève en outre justement le Procureur général, U.________ admettait en 2007 et en 2009 qu'il était d'accord avec son expulsion et qu'il envisageait la poursuite de ses études au Maroc (P. 3/4 et 3/5). De surcroît, les chances de réinsertion du condamné au Maroc ne sont pas inexistantes puisqu'il y a de la famille, que les formations suivies en Suisse constituent un atout indéniable et qu'il bénéficie d'une promesse d'engagement émanant d'une entreprise à Casablanca. Pour ces motifs, il n'est pas possible de considérer que la condition pour émettre un pronostic non défavorable à l'encontre d'U.________ serait la continuation de sa formation en Suisse, puisque cela reviendrait à nier le chemin qu'il a parcouru ainsi que son amendement et ne respecterait pas les conditions de la libération conditionnelle. Même s'il est compréhensible que le condamné préfère achever ses études en Suisse, il ne s'agit pas d'un élément pertinent pour l'application de l'art. 86 al. 1 CP. Il convient à ce propos de relever que la libération conditionnelle n'est ni un droit, ni une faveur, mais bien une modalité de l'exécution de la peine que le condamné ne peut pas accepter ou refuser à sa guise (ATF 101 Ib 452 c. 1). Au vu de ce qui précède, un pronostic non défavorable peut être posé en faveur d'U.________. Il se justifie dès lors de le libérer conditionnellement. Il convient en outre d'impartir à l'intéressé un délai d'épreuve de trois ans, conformément à l'art. 87 al. 1 CP.</w:t>
      </w:r>
    </w:p>
    <w:p>
      <w:r>
        <w:rPr>
          <w:b/>
        </w:rPr>
        <w:t>E. 4</w:t>
      </w:r>
    </w:p>
    <w:p>
      <w:r>
        <w:t>Il résulte de ce qui précède que le recours doit être admis et la libération conditionnelle accordée. Les frais de la procédure de recours, constitués en l'espèce de l'émolument du jugement, par 1'100 fr. (art. 20 al. 1 TFJP [Tarif des frais judiciaires pénaux du 28 septembre 2010, RSV 312.03.1]), sont laissés à la charge de l'Etat. Par ces motifs, la Chambre des recours pénale, statuant à huis clos prononce: I. Le recours est admis. II. Le jugement du 21 janvier 2011 est réformé comme il suit: I. Accorde la libération conditionnelle à U.________. II. Impartit au condamné un délai d'épreuve de trois ans. III. Laisse les frais de la cause à la charge de l'Etat. III. Les frais de deuxième instance, par 1'100 fr. (mille cent francs), sont laissés à la charge de l'Etat. IV. Le présent jugement est exécutoire. Le président :               La greffière : Du Le jugement qui précède, dont la rédaction a été approuvée à huis clos, est notifié, par l'envoi d'une copie complète, à : - M. François Pidoux, avocat (pour U.________), - Ministère public central, et communiqué à : ‑ Collège des Juges d'application des peines, - Office d'exécution des peines (réf. : [...]), - Etablissement du Tulipier,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