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300 vom 17. August 2011</w:t>
      </w:r>
    </w:p>
    <w:p>
      <w:r>
        <w:t>VD Tribunal cantonal, 2011-08-17, FR</w:t>
      </w:r>
    </w:p>
    <w:p>
      <w:r>
        <w:rPr>
          <w:b/>
        </w:rPr>
        <w:t xml:space="preserve">Quelle: </w:t>
      </w:r>
      <w:r>
        <w:t>https://mcp.opencaselaw.ch/entscheid/vd_findinfo_Jug___2011___300</w:t>
      </w:r>
    </w:p>
    <w:p>
      <w:r>
        <w:t>FR: VD_FINDINFO Jug / 2011 / 300 du 17 août 2011</w:t>
      </w:r>
    </w:p>
    <w:p>
      <w:r>
        <w:t>IT: VD_FINDINFO Jug / 2011 / 300 del 17 agosto 2011</w:t>
      </w:r>
    </w:p>
    <w:p>
      <w:pPr>
        <w:pStyle w:val="Heading2"/>
      </w:pPr>
      <w:r>
        <w:t>Regeste</w:t>
      </w:r>
    </w:p>
    <w:p>
      <w:r>
        <w:t>PAR MÉTIER, VOL{DROIT PÉNAL}, LA POSTE | 139 ch. 2 CP, 321 ter CP</w:t>
      </w:r>
    </w:p>
    <w:p>
      <w:pPr>
        <w:pStyle w:val="Heading2"/>
      </w:pPr>
      <w:r>
        <w:t>Erwägungen</w:t>
      </w:r>
    </w:p>
    <w:p>
      <w:r>
        <w:rPr>
          <w:b/>
        </w:rPr>
        <w:t>E. 3</w:t>
      </w:r>
    </w:p>
    <w:p>
      <w:r>
        <w:t>L'appelant ne conteste ni le principe de sa culpabilité, ni les infractions retenues contre lui. Il considère cependant que les premiers juges ont fondé leur conviction s'agissant du montant soustrait, sur un état de faits et une appréciation des preuves erronés. Il relève notamment que le jugement de première instance retiendrait à tort que sa mission était de scanner les colis alors qu'elle était simplement de les poser sur une bande roulante.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En l'occurrence, les premiers juges ont expressément relevé que l'appelant devait notamment sortir les colis arrivés par train ou camion et les déposer sur une bande, où ils étaient scannés avant d'être acheminés par une glissière à une place de tri (cf. jgt., p. 17). Aux débats d'appel, U.________ a d'ailleurs confirmé ce point. Partant, ce grief, mal fondé, doit être rejeté.</w:t>
      </w:r>
    </w:p>
    <w:p>
      <w:r>
        <w:rPr>
          <w:b/>
        </w:rPr>
        <w:t>E. 4</w:t>
      </w:r>
    </w:p>
    <w:p>
      <w:r>
        <w:t>B.________ soutient que les premiers juges n'auraient dû, au bénéfice du doute, retenir à son encontre que des vols pour le montant retrouvé chez lui par la police. Il affirme n'avoir rien volé de plus, ce qui est – selon lui – confirmé par son train de vie normal. Il ajoute que s'il avait pu s'enrichir illégitimement, il n'était pas le seul à pouvoir le faire parmi ses anciens collègues.</w:t>
      </w:r>
    </w:p>
    <w:p>
      <w:r>
        <w:rPr>
          <w:b/>
        </w:rPr>
        <w:t>E. 4.1</w:t>
      </w:r>
    </w:p>
    <w:p>
      <w:r>
        <w:t>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4.2</w:t>
      </w:r>
    </w:p>
    <w:p>
      <w:r>
        <w:t>Dans le cas d'espèce, il est exact que la police n'a pas découvert de compte caché ou d'opérations bancaires particulières (cf. pièce n° 48). Il est également possible que d'autres employés de J.________ se soient livrés à des vols, d'autres disparitions de colis ayant d'ailleurs été constatées après l'arrestation de l'appelant le 25 février 2009. Les premiers juges ont toutefois retenu qu'au vu des déclarations de l'appelant durant l'enquête, selon lesquelles "l'important était de capitaliser et de mettre des sous en sécurité", il convenait de retenir que B.________ avait volé et caché plus d'argent que la police n'en avait trouvé à son domicile. Outre les indices qui ont permis de conduire, et finalement de confondre l'appelant à la suite d'une enquête longue et difficile, les premiers juges ont fondé leur conviction sur le fait que la provenance des envois disparus était pour l'essentiel des envois express bancaires, la disparition des envois ne faisant que s'accentuer au fil du temps (cf. jgt., p. 21-22). Ils ont également retenu que l'appelant avait des soucis d'argent depuis 2002 (cf. jgt., p. 22) et qu'il ne négligeait pour autant pas des dépenses ordinaires puisqu'il détenait trois cartes de crédit, qu'il envoyait ou emmenait de l'argent à sa famille au Maroc, qu'il prenait des billets d'avions pour le Maroc et qu'il jouait à des jeux de hasard (cf. jgt., p. 23 consid. d in fine). Enfin, et cela est déterminant, les premiers juges ont relevé que B.________ était présent sur le site lors de tous les cas de disparition concernant la banque Q.________, à l'exception d'un seul cas survenu le 11 avril 2003 et qu'aucun vol concernant cette banque n'avait été enregistré lorsqu'il était absent. Fondés sur ces derniers éléments, les premiers juges ont retenu que les vols commis par l'appelant avaient débuté de manière certaine le 17 avril 2003. La cour de céans relève au surplus que l'appelant a admis avoir agi huit ou neuf fois, ce qui signifierait qu'il aurait obtenu en moyenne par vol près de 9'000 fr. (56'300 euros + 4'800 livres sterling + 5'000 fr. ./. 9). Or, ce montant est largement supérieur à la moyenne des envois d'argent, alors que le montant que contiennent les enveloppes est inconnu (cf. pièce 58). Il est donc clair que l'appelant ment sur le nombre de vols commis. Enfin, B.________ a affirmé n'avoir jamais volé de francs suisses. Or, cinq billets de mille francs ont été retrouvés à son domicile, ses explications quant à leur provenance n'ayant à juste titre pas été retenues par les premiers juges (cf. jgt., p. 24). Par ailleurs, en volant les enveloppes, B.________ ne pouvait savoir quelles devises elles contenaient. Ces éléments confirment que l'appelant ment et qu'il n'y a que peu de crédit à accorder à ses déclarations. En définitive, on retiendra que l'activité délictueuse de B.________ a porté sur 134 vols pour un montant de 675'810 fr., causant à J.________ un préjudice de 401'393 fr., selon les calculs suivants, découlant du récapitulatif figurant sous pièce 58 du dossier: seuls les vols commis de nuit alors que le prévenu était présent peuvent être retenus; ce sont les cas teintés en vert, soit 148 vols pour 681'280 fr., représentant pour J.________ un préjudice de 404'997 francs. Il faut toutefois encore déduire les cas teintés en vert antérieurs au 17 avril 2003, soit 14 vols pour 5'470 fr., représentant un préjudice de 3'604 francs. Pour le surplus, les cas teintés en rouge, où le prévenu n'était pas présent, ne sont évidemment pas retenus à sa charge. Il en va de même, au bénéfice du doute, pour les cas teintés en bleu, où le prévenu travaillait de jour, dès lors que la majeure partie des envois disparus transitaient durant la nuit au centre de tri des colis de Daillens.</w:t>
      </w:r>
    </w:p>
    <w:p>
      <w:r>
        <w:rPr>
          <w:b/>
        </w:rPr>
        <w:t>E. 5</w:t>
      </w:r>
    </w:p>
    <w:p>
      <w:r>
        <w:t>B.________ requiert le prononcé d'une peine réduite, soutenant que sa culpabilité doit être appréciée uniquement sur la base des sommes retrouvées à son domicile.</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5.2</w:t>
      </w:r>
    </w:p>
    <w:p>
      <w:r>
        <w:t>En tant que l'argumentation de l'appelant repose sur la prémisse d'une admission de son premier moyen, elle est vouée à l'échec. Pour le surplus, on relève que les premiers juges ont estimé que la culpabilité de B.________ était très lourde au regard de la longue période durant laquelle il a agi, soit d'avril 2003 à février 2009 et au vu des montants détournés très élevés. Ils ont également relevé que seule son arrestation avait permis de mettre fin à son activité délictueuse, ce dernier persistant à minimiser son activité malgré des indices de culpabilité convergents et formulant des regrets peu convaincants. Les premiers juges ont retenu que les infractions étaient en concours et que l'appelant avait déjà été condamné en juin 2003. A sa décharge, ils ont retenu ses aveux partiels (cf. jgt., p. 26). Au vu de l’ensemble de ces éléments, la quotité de la peine prononcée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w:t>
      </w:r>
    </w:p>
    <w:p>
      <w:r>
        <w:rPr>
          <w:b/>
        </w:rPr>
        <w:t>E. 6</w:t>
      </w:r>
    </w:p>
    <w:p>
      <w:r>
        <w:t>En définitive, l'appel de B.________ est intégralement rejeté et le jugement de première instance confirmé.</w:t>
      </w:r>
    </w:p>
    <w:p>
      <w:r>
        <w:rPr>
          <w:b/>
        </w:rPr>
        <w:t>E. 7</w:t>
      </w:r>
    </w:p>
    <w:p>
      <w:r>
        <w:t>Une indemnité de défenseur d'office d'un montant de 1'900 fr. (mille neuf cents francs) débours et TVA compris, est allouée à Me Jean-Pierre Bloch, pour la procédure d'appel. Les frais d'appel comprennent l'émolument, qui se monte à 2'130 fr. (art. 21 al. 1 et 2 TFJP [Tarif des frais judiciaires pénaux du 28 septembre 2010, RSV 312.03.1]), ainsi que l'indemnité allouée au conseil d'office d'B.________ (cf. art. 135 al. 2 et 422 al. 2 let. a CPP, art. 2 al. 2 ch. 1 TFJP). Compte tenu de l'issue de la cause, ces frais sont mis à la charge d'B.________. B.________ doit verser à J.________ une indemnité de 5'000 fr. à titre de dépens. B.________ ne sera tenu de rembourser à l’Etat les indemnités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