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294 vom 14. Juni 2011</w:t>
      </w:r>
    </w:p>
    <w:p>
      <w:r>
        <w:t>VD Tribunal cantonal, 2011-06-14, FR</w:t>
      </w:r>
    </w:p>
    <w:p>
      <w:r>
        <w:rPr>
          <w:b/>
        </w:rPr>
        <w:t xml:space="preserve">Quelle: </w:t>
      </w:r>
      <w:r>
        <w:t>https://mcp.opencaselaw.ch/entscheid/vd_findinfo_Jug___2011___294</w:t>
      </w:r>
    </w:p>
    <w:p>
      <w:r>
        <w:t>FR: VD_FINDINFO Jug / 2011 / 294 du 14 juin 2011</w:t>
      </w:r>
    </w:p>
    <w:p>
      <w:r>
        <w:t>IT: VD_FINDINFO Jug / 2011 / 294 del 14 giugno 2011</w:t>
      </w:r>
    </w:p>
    <w:p>
      <w:pPr>
        <w:pStyle w:val="Heading2"/>
      </w:pPr>
      <w:r>
        <w:t>Regeste</w:t>
      </w:r>
    </w:p>
    <w:p>
      <w:r>
        <w:t>TENTATIVE{DROIT PÉNAL}, CONTRAINTE{DROIT PÉNAL}, FAUX INTELLECTUEL DANS LES TITRES, FAUX MATÉRIEL DANS LES TITRES, SURSIS À L'EXÉCUTION DE LA PEINE | 181 CP, 22 CP, 251 ch. 1 CP</w:t>
      </w:r>
    </w:p>
    <w:p>
      <w:pPr>
        <w:pStyle w:val="Heading2"/>
      </w:pPr>
      <w:r>
        <w:t>Erwägungen</w:t>
      </w:r>
    </w:p>
    <w:p>
      <w:r>
        <w:rPr>
          <w:b/>
        </w:rPr>
        <w:t>E. 2</w:t>
      </w:r>
    </w:p>
    <w:p>
      <w:r>
        <w:t>Q.________ considère qu'un complément d'expertise graphologique aurait permis d'établir l'auteur du corps du texte de la reconnaissance de dette contestée et, partant, l'auteur de la signature. Sur ce dernier point, il estime que l'art. 398 al. 2 CPP devrait l'emporter sur la règle générale de l'art. 389 CPP. L'art. 398 al. 2 CPP définit le pouvoir de cognition de l'autorité d'appel. L'art. 389 CPP définit quant à lui à quelles conditions l'administration des preuves est répétée, la règle étant que les preuves administrées pendant la procédure préliminaire et la procédure de première instance ne sont pas réadministrées par l'autorité de recours (art. 389 al. 1 CPP et al. 2 a contrario). Il ressort de la systématique de la loi que l'art. 389 CPP s'impose à l'art. 398 al. 2 CPP. L'aret. 389 CPP fait en effet partie des dispositions générales qui régissent la procédure de recours lato sensu (recours, appel, révision). En outre, en tant que l'une (art. 389 CPP) règle le sort des compléments de preuve et l'autre (art. 398 al. 2 CPP) l'étendue du pouvoir d'examen de ces preuves par l'autorité d'appel, l'art. 398 al. 2 CPP ne fait pas figure de lex specialis comme le prétend l'appelant. Pour le surplus, il est renvoyé au jugement incident du 24 juillet 2009, par lequel le Tribunal d'accusation du canton de Vaud a confirmé l'ordonnance de non-lieu prononcée le 10 juin 2009 par le Juge d'instruction de l'arrondissement de Lausanne, relatif aux faits survenus le 16 novembre 2006 (cf. infra consid. 4.2). Mal fondé, ce moyen doit être rejeté.</w:t>
      </w:r>
    </w:p>
    <w:p>
      <w:r>
        <w:rPr>
          <w:b/>
        </w:rPr>
        <w:t>E. 3</w:t>
      </w:r>
    </w:p>
    <w:p>
      <w:r>
        <w:t>Q.________ reproche au premier juge d'avoir conclu à sa culpabilité alors même qu'elle aurait dû, selon lui, prononcer son acquittement au bénéfice du doute. Il considère en effet que les déclarations de la plaignante ne sont pas crédibles, cette dernière ayant menti sur l'existence d'une relation amoureuse entre elle et lui, ce que la juge avait implicitement admis, alors qu'elle a considéré, sans motiver sa position, que la plaignante disait la vérité lorsqu'elle affirmait ne pas avoir signé la reconnaissance de dette litigieuse.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3.2</w:t>
      </w:r>
    </w:p>
    <w:p>
      <w:r>
        <w:t>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3.3</w:t>
      </w:r>
    </w:p>
    <w:p>
      <w:r>
        <w:t>En l'occurrence, le premier juge a fondé sa conviction que Q.________ s'est rendu coupable de faux dans les titres sur les conclusions claires et précises de l'expertise graphologique, selon lesquelles la signature apposée sur la reconnaissance de dette litigieuse n'est pas celle de la plaignante. Il a également retenu que le mensonge de la plaignante, s'agissant de sa relation amoureuse avec l'appelant, pouvait se comprendre d'un point de vue culturel et compte tenu de sa position de femme mariée. Cela ne signifiait cependant pas pour autant que les faits invoqués par la plaignante, s'agissant de la reconnaissance de dette litigieuse, n'étaient pas crédibles. Le premier juge a en outre retenu que dans les deux signatures litigieuses, le prénom de la plaignante n'était pas orthographié comme dans les signatures de références fournies par A.H.________, que les deux fausses signatures étaient issues de la même main et que le nom de jeune fille de la plaignante figurait sur le document litigieux, alors qu'elle était déjà mariée depuis trois ans et qu'elle n'a jamais utilisé ce nom dans les signatures de références. Le juge de première instance a enfin relevé que le témoignage de l'époux de la plaignante était crédible s'agissant de diverses "arnaques" que le couple avait subi de la part du prévenu et que les deux documents litigieux ont uniquement profité à Q.________ (cf. jgt., p. 17 et 18). La cour de céans considère que le raisonnement du premier juge ne prête pas le flanc à la critique et doit être confirmé. Il est étayé et fondé sur une analyse minutieuse d'une expertise irréprochable et ne consacre aucune violation du principe in dubio pro reo. Au plan du droit, la reconnaissance de dette litigieuse est un faux matériel portant sur un titre suffisamment probant pour emporter la mainlevée d'une opposition devant le juge de la poursuite. L'infraction de faux dans les titres est dès lors avérée. Ce grief, mal fondé, ne peut qu'être rejeté.</w:t>
      </w:r>
    </w:p>
    <w:p>
      <w:r>
        <w:rPr>
          <w:b/>
        </w:rPr>
        <w:t>E. 4</w:t>
      </w:r>
    </w:p>
    <w:p>
      <w:r>
        <w:t>Q.________ a été condamné à une peine pécuniaire de 210 jours-amende à 20 fr. le jour, avec sursis pendant trois ans. Il demande à être libéré de toute peine.</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rPr>
          <w:b/>
        </w:rPr>
        <w:t>E. 4.2</w:t>
      </w:r>
    </w:p>
    <w:p>
      <w:r>
        <w:t>En tant que l'argumentation de Q.________ se fonde sur la prémisse d'une admission de son premier moyen, elle est vouée à l'échec. En revanche, l'appel est fondé lorsqu'il porte sur la condamnation ayant trait aux événements du 16 novembre 2006. Il ressort des pièces du dossier que ce cas fait partie d'une enquête référencée sous cote PE08.007378 dans laquelle le juge d'instruction avait rendu une ordonnance de non-lieu confirmée, sur recours de la plaignante par le Tribunal d'accusation vaudois par arrêt du 24 juillet 2009 (arrêt TACC du 24 juillet 2009 n° 518). Il s'ensuit que la condamnation de l'appelant sur ce point de l'acte d'accusation viole le principe ne bis in idem. Il se justifie ainsi de revoir la quotité de la peine. Pour les motifs retenus par l'instance inférieure, que la Cour d'appel fait siens, la culpabilité de Q.________ doit être qualifiée de moyenne (cf. jgt., p. 19). En effet, le constat de culpabilité n'a pas à être sensiblement modifié dans la mesure où l'admission de l'appel porte sur un point minime de l'acte d'accusation. En tenant compte de tous les éléments à charge et à décharge retenus par le premier juge, qui sont complets et convaincants, la quotité de la peine sera en définitive arrêtée à 180 jours-amende.</w:t>
      </w:r>
    </w:p>
    <w:p>
      <w:r>
        <w:rPr>
          <w:b/>
        </w:rPr>
        <w:t>E. 5</w:t>
      </w:r>
    </w:p>
    <w:p>
      <w:r>
        <w:t>En définitive, l'appel de Q.________ est partiellement admis, en ce sens que la peine pécuniaire est réduite de 210 à 180 jours-amende à 20 fr. le jour. II. Appel joint de A.H.________</w:t>
      </w:r>
    </w:p>
    <w:p>
      <w:r>
        <w:rPr>
          <w:b/>
        </w:rPr>
        <w:t>E. 6</w:t>
      </w:r>
    </w:p>
    <w:p>
      <w:r>
        <w:t>A.H.________ a limité son appel au montant de l'indemnité qui lui a été alloué pour tort moral en première instance. Elle relève que le premier juge n'a pas pris en considération qu'elle était toujours suivie par le Dr W.________ et que, faisant l'objet d'une poursuite pour un montant de plus de 400'000 fr., elle n'avait pu obtenir l'autorisation de faire venir sa famille en Suisse, ni n'avait pu changer d'appartement. Elle conclut à l'allocation d'un montant de 5'000 fr. à titre de réparation du tort moral.</w:t>
      </w:r>
    </w:p>
    <w:p>
      <w:r>
        <w:rPr>
          <w:b/>
        </w:rPr>
        <w:t>E. 6.1</w:t>
      </w:r>
    </w:p>
    <w:p>
      <w:r>
        <w:t>L'art. 47 du Code des obligations du 30 mars 1911 (CO; RS 220), étant un cas particulier de l'action générale en réparation du tort moral prévue à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 ème éd., Berne 1982, p. 93, nn. 24 s.; Tercier, op. cit., p. 267, n. 2029, et pp. 279 ss, nn. 2047 ss; Tercier, La réparation du tort moral: crise ou évolution?, in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TF 4C.263/2006 du 17 janvier 2007 c. 7.3). Comme il s'agit d'une question d'équité – et non pas d'une question d'appréciation au sens strict, qui limiterait son pouvoir d'examen à l'abus ou à l'excès du pouvoir d'appréciation – il faut examiner librement si la somme allouée tient suffisamment compte de la gravité de l'atteinte ou si elle est disproportionnée par rapport à l'intensité des souffrances morales causées à la victime (ATF 130 III 699 c. 5.1, JT 2006 I 193, SJ 2005 I 152; ATF 129 IV 22 c. 7.2; ATF 125 III 269 c. 2a, SJ 1999 I 431). Les facteurs de réduction des art. 43 et 44 CO sont applicables par analogie à l'indemnité pour tort moral (ATF 131 III 12 c. 8 ; ATF 128 II 49 c. 4.2; Werro, in Commentaire romand, 2003, n. 16 ad art. 49 CO, p. 345).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Ib 155 c. 2b ; von Tuhr/Peter, Allgemeiner Teil des Schweizerischen Obligationenrechts I, § 14 p. 108). Pour qu'il y ait lieu à réduction, il est nécessaire que la faute concomitante du lésé ait contribué à la survenance du dommage, c'est-à-dire qu'elle s'insère dans la série causale aboutissant au préjudice (cf. Deschenaux/Tercier, op. cit., p. 88, n° 54; Werro, in Commentaire romand, 2003, n° 13 ad art. 44 CO p. 306), ou qu'elle augmente l'ampleur du dommage.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w:t>
      </w:r>
    </w:p>
    <w:p>
      <w:r>
        <w:rPr>
          <w:b/>
        </w:rPr>
        <w:t>E. 6.2</w:t>
      </w:r>
    </w:p>
    <w:p>
      <w:r>
        <w:t>En l'espèce, il est indéniable que A.H.________ a été durablement harcelée et que ce harcèlement l'a déstabilisée au point qu'elle a dû consulter un médecin. Sur le principe donc, il est justifié de lui allouer un montant au titre de réparation du tort moral. A.H.________ a obtenu en première instance un montant de 1'000 francs. Il faut retenir que le comportement de la plaignante n'est pas exempt de reproches, dès lors que la relation adultère que les parties ont entretenue explique, sans excuser, les assiduités largement inadmissibles de Q.________. C'est là un facteur de réduction du montant de l'indemnité demandée. S'il est établi que, contrairement à ce qu'a retenu le premier juge, A.H.________ est encore suivie par un thérapeute, il ne s'agit que d'une inexactitude factuelle qui ne permet pas de modifier le montant alloué à titre d'indemnité. Il est en effet difficile de faire la part des choses entre le conflit dans lequel A.H.________ s'est forcément trouvée en tant que femme mariée et le comportement de Q.________, celui-là aggravant celui-ci. Au vu de l'ensemble de ces considérations, le montant de 1'000 fr., alloué à A.H.________ n'apparaît pas inéquitable et doit être maintenu. Ce grief, mal fondé, doit être rejeté.</w:t>
      </w:r>
    </w:p>
    <w:p>
      <w:r>
        <w:rPr>
          <w:b/>
        </w:rPr>
        <w:t>E. 7</w:t>
      </w:r>
    </w:p>
    <w:p>
      <w:r>
        <w:t>En définitive, l'appel joint de A.H.________ est rejeté. Le montant de 1'000 fr., alloué à titre de tort moral par le tribunal de première instance, est confirmé.</w:t>
      </w:r>
    </w:p>
    <w:p>
      <w:r>
        <w:rPr>
          <w:b/>
        </w:rPr>
        <w:t>E. 8</w:t>
      </w:r>
    </w:p>
    <w:p>
      <w:r>
        <w:t>Q.________ obtenant très partiellement gain de cause et A.H.________ étant déboutée, les frais d'appel par 2'130 fr., sont mis par moitié à la charge de Q.________, soit 1'065 fr (mille soixante cinq francs), par un quart à la charge de A.H.________, soit 532 fr.50 (cinq cent trente deux francs et cinquante centimes), le solde étant laissé à la charge de l'Etat. L’indemnité du défenseur d’office de Q.________, par 1'803 fr. 60 (mille huit cent trois francs et soixante centimes), débours et TVA compris, est mise à la charge de ce dernier à raison de trois quarts, soit 1'352 fr.70 (mille trois cent cinquante deux francs et septante centimes), le solde étant supporté par l’Etat. L’indemnité du défenseur d’office de A.H.________, par 1'803 fr. 60 (mille huit cent trois francs et soixante centimes), débours et TVA compris, est mise à la charge de Q.________ par moitié, soit 901 fr. 80 (neuf cent un francs et huitante centimes) le solde étant mis à la charge de A.H.________.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