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 vom 12. Februar 2008</w:t>
      </w:r>
    </w:p>
    <w:p>
      <w:r>
        <w:t>VD Tribunal cantonal, 2008-02-12, FR</w:t>
      </w:r>
    </w:p>
    <w:p>
      <w:r>
        <w:rPr>
          <w:b/>
        </w:rPr>
        <w:t xml:space="preserve">Quelle: </w:t>
      </w:r>
      <w:r>
        <w:t>https://mcp.opencaselaw.ch/entscheid/vd_findinfo_Jug___2011___29</w:t>
      </w:r>
    </w:p>
    <w:p>
      <w:r>
        <w:t>FR: VD_FINDINFO Jug / 2011 / 29 du 12 février 2008</w:t>
      </w:r>
    </w:p>
    <w:p>
      <w:r>
        <w:t>IT: VD_FINDINFO Jug / 2011 / 29 del 12 febbraio 2008</w:t>
      </w:r>
    </w:p>
    <w:p>
      <w:pPr>
        <w:pStyle w:val="Heading2"/>
      </w:pPr>
      <w:r>
        <w:t>Regeste</w:t>
      </w:r>
    </w:p>
    <w:p>
      <w:r>
        <w:t>DEMANDE ADRESSÉE À L'AUTORITÉ, RÉVISION{DÉCISION} | 410 al. 1 let. a CPP (CH)</w:t>
      </w:r>
    </w:p>
    <w:p>
      <w:pPr>
        <w:pStyle w:val="Heading2"/>
      </w:pPr>
      <w:r>
        <w:t>Erwägungen</w:t>
      </w:r>
    </w:p>
    <w:p>
      <w:r>
        <w:rPr>
          <w:b/>
        </w:rPr>
        <w:t>E. 1</w:t>
      </w:r>
    </w:p>
    <w:p>
      <w:r>
        <w:t>Selon l’art. 410 al. 1 let. a CPP (Code de procédure pénale suisse du</w:t>
      </w:r>
    </w:p>
    <w:p>
      <w:r>
        <w:rPr>
          <w:b/>
        </w:rPr>
        <w:t>E. 5</w:t>
      </w:r>
    </w:p>
    <w:p>
      <w:r>
        <w:t>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En l'occurrence, le requérant peut être considéré comme un lésé au sens de l'art. 410 al. 1 let. a CPP (cf. Rémy, Commentaire romand n. 7 ad art. 410 CPP et n. 6 ad. art. 452 CPP; Fingerhuth in Donatsch et consorts, n. 47 ad. art. 410 CPP). En revanche, sa demande de révision vise un arrêt du Tribunal d'accusation confirmant un non-lieu fondé sur des considérations de faits. Cet arrêt n'est dès lors pas susceptible d'être revu, n'étant pas un jugement entré en force au sens de l'art. 410 al. 1 CPP, les faits nouveaux pouvant être présentés dans une reprise de la procédure préliminaire (art. 323 CPP). Partant, la demande de révision déposée par Z.________ est irrecevable. 2. Au surplus, il convient de rappeler que la révision d'un jugement ne peut être demandée que lorsque des faits ou des moyens de preuve sérieux et dont le juge n'avait pas eu connaissance lors du premier procès viennent à être invoqués.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(Favre/Pellet/Stoudmann, Code pénal annoté, 3 ème éd. 2007, n. 1.3 ad art. 385 CP). Des faits ou moyens de preuve sont nouveaux lorsqu'ils n'ont pas été soumis, sous quelque forme que ce soit, à l'appréciation du tribunal, soit parce qu'ils ne ressortaient pas du dossier ou des débats, soit parce qu'ils avaient été négligés par le premier juge. Ils sont sérieux lorsqu'ils sont propres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ou non une réduction de la peine (ATF 130 IV 72 c. 1; 116 IV 353). 3. En l'espèce, le requérant mélange recours, appel, révision et récusation. Il n'existe manifestement ni faits ni moyens de preuve qui étaient inconnus de l'autorité inférieure et le refus d'entrer en matière du commandant de la police municipale, qui ne concerne au surplus que l'agent lausannois et non pas les agents de la police ferroviaire principalement concernés par la plainte, ne constitue pas un fait nouveau pertinent (cf. courrier du 4 octobre 2010). Les autres éléments mentionnés (caméras de surveillance) ont déjà été évoqués dans le cadre de l'enquête ayant conduit au non-lieu (cf. recours Z ______ au TACC du 4 février 2008). Enfin, une demande de récusation ne constitue pas un motif de révision. 4. En définitive, la demande de révision présentée par Z.________ est irrecevable. Vu l'issue de la cause, les frais de révision (art. 21, par renvoi de l'art. 22 du TFJP [Tarif des frais judiciaires pénaux, RSV 312.03.1 ]) sont mis à sa charge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