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289 vom 31. Mai 2011</w:t>
      </w:r>
    </w:p>
    <w:p>
      <w:r>
        <w:t>VD Tribunal cantonal, 2011-05-31, FR</w:t>
      </w:r>
    </w:p>
    <w:p>
      <w:r>
        <w:rPr>
          <w:b/>
        </w:rPr>
        <w:t xml:space="preserve">Quelle: </w:t>
      </w:r>
      <w:r>
        <w:t>https://mcp.opencaselaw.ch/entscheid/vd_findinfo_Jug___2011___289</w:t>
      </w:r>
    </w:p>
    <w:p>
      <w:r>
        <w:t>FR: VD_FINDINFO Jug / 2011 / 289 du 31 mai 2011</w:t>
      </w:r>
    </w:p>
    <w:p>
      <w:r>
        <w:t>IT: VD_FINDINFO Jug / 2011 / 289 del 31 maggio 2011</w:t>
      </w:r>
    </w:p>
    <w:p>
      <w:pPr>
        <w:pStyle w:val="Heading2"/>
      </w:pPr>
      <w:r>
        <w:t>Regeste</w:t>
      </w:r>
    </w:p>
    <w:p>
      <w:r>
        <w:t>TORT MORAL, PARTIE CIVILE, LOI FÉDÉRALE SUR LA CIRCULATION ROUTIÈRE, LÉSION CORPORELLE PAR NÉGLIGENCE | 47 CO, 125 al. 1 CP, 29 al. 2 Cst., 62 al. 1 LCR</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Aux termes de l’art. 398 al. 5 CPP, si un appel ne porte que sur des conclusions civiles, la juridiction d’appel n’examine le jugement de première instance que dans la mesure où le droit de procédure civile applicable au for autoriserait l’appel. Tel est le cas en l’occurrence au regard de l’art. 308 CPC, la valeur litigieuse équivalent à 10'000 francs. Selon l'art. 401 al. 2 CPP, l'appel joint n'est pas limité à l'appel principal, sauf si celui-ci porte exclusivement sur les conclusions civiles du jugement. En l'espèce, dès lors que l'appel principal porte exclusivement sur les conclusions civiles, l'appel joint est irrecevable dans la mesure où il tend à une aggravation du chef d'accusation retenue contre le prévenu.</w:t>
      </w:r>
    </w:p>
    <w:p>
      <w:r>
        <w:rPr>
          <w:b/>
        </w:rPr>
        <w:t>E. 1.2</w:t>
      </w:r>
    </w:p>
    <w:p>
      <w:r>
        <w:t>L’art. 382 al. 1 CPP précise que toute partie qui a un intérêt juridiquement protégé à l’annulation ou à la modification d’une décision a qualité pour recourir contre celle-ci. En l’occurrence, tant le prévenu que la victime ont un intérêt au sens de la disposition précitée, de sorte que la qualité pour recourir doit leur être reconnue.</w:t>
      </w:r>
    </w:p>
    <w:p>
      <w:r>
        <w:rPr>
          <w:b/>
        </w:rPr>
        <w:t>E. 1.3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Invoquant une violation de son droit d'être entendu, P.________ estime que la motivation du premier juge est insuffisante s'agissant de l'octroi d'une indemnité pour tort moral à T.________.</w:t>
      </w:r>
    </w:p>
    <w:p>
      <w:r>
        <w:rPr>
          <w:b/>
        </w:rPr>
        <w:t>E. 2.1</w:t>
      </w:r>
    </w:p>
    <w:p>
      <w:r>
        <w:t>Tel qu'il est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 121 I 54 c. 2c ). Il n'est donc pas nécessaire que les motifs portent sur tous les moyens des parties; ils peuvent être limités aux questions décisives (ATF 133 III 439 c. 3.3). Le droit d'être entendu est une garantie constitutionnelle de nature formelle dont la violation doit en principe entraîner l'annulation de la décision attaquée, indépendamment des chances de succès du recours sur le fond (ATF 135 I 187 c. 2.2 ; 132 V 387 c.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 3.1 ; 133 I 201 c. 2.2). Une telle réparation dépend de la gravité et de l'étendue de l'atteinte portée au droit d'être entendu et doit rester l'exception (ATF 126 I 68 c. 2). Elle peut également se justifier en présence d'un vice grave lorsque le renvoi constituerait une vaine formalité et aboutirait à un allongement inutile de la procédure (ATF 133 I 201 c. 2.2).</w:t>
      </w:r>
    </w:p>
    <w:p>
      <w:r>
        <w:rPr>
          <w:b/>
        </w:rPr>
        <w:t>E. 2.2</w:t>
      </w:r>
    </w:p>
    <w:p>
      <w:r>
        <w:t>En l'espèce, le Tribunal de police a entendu T.________ ainsi que la belle-sœur de ce dernier au sujet des atteintes subies par celui-ci (jgt, pp. 7 et 8). Il a exposé les lésions constatées ainsi que le contenu du rapport du Dr [...], spécialiste en chirurgie orthopédique, et des attestations du Dr I.________, médecin traitant généraliste (jgt, p. 15). Il a estimé que le montant de 20'000 fr. requis par T.________ à titre d'indemnité pour tort moral était trop important au vu des lésions subies, même si celles-ci perduraient et lui a donc octroyé une somme de 10'000 fr. (jgt, p. 18). On comprend dès lors quels sont les éléments retenus par le premier juge et la manière dont il a procédé pour retenir une indemnité pour tort moral de 10'000 francs. Au surplus, au regard du pouvoir de cognition de la Cour d'appel telle qu'exposée ci-dessus (cf., c. 1.3.), une éventuelle motivation insuffisante peut être réparée dans le cadre de la présente procédure. Le grief est donc vain et doit être rejeté.</w:t>
      </w:r>
    </w:p>
    <w:p>
      <w:r>
        <w:rPr>
          <w:b/>
        </w:rPr>
        <w:t>E. 3</w:t>
      </w:r>
    </w:p>
    <w:p>
      <w:r>
        <w:t>P.________ reproche au premier juge d’avoir fondé son appréciation sur les témoignages du médecin traitant et de la belle-sœur de la victime, alors que ces moyens auraient dû être appréciés avec circonspection en raison des liens étroits unissant ces personnes à T.________, ceci d'autant plus que le rapport du Dr [...] contredit ou relativise ces affirmations. Il conteste également l’existence d’un préjudice moral subi par T.________ et estime que le montant octroyé de 10'000 fr. est disproportionné par rapport à la lésion subie et la faute commise par le piéton. De son côté, T.________ conclut à l’octroi d’une indemnité pour tort moral de 12'000 fr. et requiert la production de son dossier AI, d’un rapport complémentaire de son médecin traitant ainsi que l’audition de divers témoins, susceptibles de se prononcer sur ses douleurs ainsi que sur les séquelles qu’il endure encore à ce jour du fait de l’accident. 3.1.1. En vertu de l'art. 47 CO, applicable par renvoi de l'art. 62 al. 1 LCR (Loi fédérale sur la circulation routière du 19 décembre 1958 ; RS 741.01),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 ATF 132 III 117 c. 2.2.2; 123 III 306 c. 9b p. 315). L'art. 47 CO demande au juge de tenir compte de «circonstances particulières»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(arrêt 4C.283/2005 du 18 janvier 2006, c. 3.1.1, reproduit in JT 2006 I 476, c. 2 ; cf. également Hütte, Anleitung zur Ermittlung angemessener Genugtuungsleistungen im Zivil- und im Opferhilferecht, in Personen-Schaden-Forum 2005, Zurich 2005, p. 139 ss, spéc. p. 165 ss ; Werro, Commentaire romand, n. 87 ad art. 47 CO ; Brehm, La réparation du dommage corporel en responsabilité civile, Berne 2002, n. 835 ss p. 362 ss).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 5.1 ; 129 IV 22 c.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 7.2 et les arrêts cités). 3.1.2. La possibilité de réduire une indemnité pour tenir compte d'une faute concomitante résultant de l'art. 44 al. 1 CO, existe également dans le cas d'une indemnité pour tort moral ( ATF 131 III 12 c. 8 p ; 128 II 49 c. 4.2 p).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Ib 155 c. 2b ; von Tuhr/Peter, Allgemeiner Teil des Schweizerischen Obligationenrechts I, § 14 p. 108). Pour qu'il y ait lieu à réduction, il est nécessaire que la faute concomitante du lésé ait contribué à la survenance du dommage, c'est-à-dire qu'elle s'insère dans la série causale aboutissant au préjudice (cf. Deschenaux/Tercier, La responsabilité civile, 2ème éd. 1982, § 7 n° 54 p. 88 ; Werro, in Commentaire romand, 2003, n° 13 ad art. 44 CO p. 306), ou qu'elle augmente l'ampleur du dommage.</w:t>
      </w:r>
    </w:p>
    <w:p>
      <w:r>
        <w:rPr>
          <w:b/>
        </w:rPr>
        <w:t>E. 3.2</w:t>
      </w:r>
    </w:p>
    <w:p>
      <w:r>
        <w:t>Dans le cas d'espèce, T.________, vêtu de sombre, marchait le long du bord droit de la chaussée, à l’intérieur de la piste cyclable. En tendant le bras gauche, pour faire du "stop", cette partie de son corps se trouvait sur la voie de circulation d'P.________. Quant à ce dernier, il a eu son attention détournée de la chaussée par le véhicule venant en sens inverse, feux de route enclenchés. Il a alors fait un ou deux appels de phares jusqu’à ce que ce conducteur enclenche ses feux de croisement. A cet instant, il a aperçu tardivement le bras tendu de T.________ et fait une manœuvre d’évitement, laquelle n’a pas suffi. Le rétroviseur droit de son véhicule a alors heurté la victime. Selon le rapport du Dr [...] du 12 juin 2009 (cf. pièce n° 20), T.________ a souffert d’une plaie profonde de la cuisse gauche, laquelle n’a pas mis sa vie gravement en danger au moment de l’accident. Il a été hospitalisé une première fois du 17 au 28 octobre, puis du 31 octobre au 5 novembre 2008 en raison d’une surinfection de la plaie ayant nécessité des traitements locaux tout d’abord en milieu hospitalier, puis de manière ambulatoire, ceci constituant une période d'incapacité de travail prolongée qui n’est toutefois plus justifiée sur le long court. Toujours selon ce praticien, aucune infirmité n’est en principe attendue des suites de cette lésion et le dommage esthétique doit être considéré comme relatif compte tenu de la localisation de la plaie. Dans son rapport du 5 mai 2009 (cf. pièce n° 14), le Dr I.________ a confirmé les lésions de la cuisse gauche et l’absence de mise en danger de la vie de la victime en raison des lésions subies. Il a relevé que son patient était en incapacité de travail prolongée depuis le 10 juillet 2007 pour des raisons de maladie, qu’il n’avait pas d’infirmité avérée due à l’accident, qu’il se plaignait encore de douleurs séquellaires sur la région lombaire et la hanche gauche et qu’il n’était pas possible de déterminer s’il s’agissait d’une atteinte transitoire ou d’un dommage permanent. Dans une lettre du 14 mai 2009 (cf. pièce n° 17), le Dr I.________ a complété le tableau lésionnel en relevant que son patient a subi une contusion cervicale et des névralgies déficitaires du nerf cubital au bras gauche. Il a également fait état d’une perte de sensibilité dans la région de la plaie. Il a expliqué que T.________ était atteint d’une arthrose cervicale avec douleurs à la nuque, que l’accident avait nettement exacerbé ses douleurs qui s’accompagnaient maintenant d’une perte de sensibilité à la main gauche. Il a relevé que le dommage esthétique était clair avec une grande cicatrice sur la partie latérale de la hanche et de la cuisse gauche avec une perte de tissus sur une surface d’au moins 20 cm2 et que la plaie, qui avait nécessité un traitement chirurgical avec débridement, s’était compliquée d’une nécrose centrale et n’était actuellement toujours pas totalement fermée. Il a considéré que le risque de dommage permanent avec douleurs chroniques, avec perte de mobilité et perte de force à la hanche et la cuisse gauche ne pouvait être exclu, de même que les pertes de sensibilités à la cuisse gauche et à la main gauche. Par courrier du 13 octobre 2009 (cf. pièce n° 31), le Dr I.________ a relevé les éléments suivants : "L es séquelles de cet accident sont encore bien présentes avec des lombalgies et des douleurs de la hanche et de la cuisse gauche, chroniques, déclenchées dans les mouvements de marche. La plaie cutanée n'est toujours pas fermée (1 cm x 0.5 cm). Le déficit tissulaire profond mesure 10 x 6 cm de diamètre et a une profondeur de 0.8 cm. Présence d'une zone d'hyposensibilité cutanée de 10 cm distalement à la plaie de la cuisse. La cicatrice elle-même, orientée dans le sens transverse, mesure 21 cm. Monsieur T.________ a encore des crampes à sa cuisse gauche à la marche et également pendant la nuit. Monsieur T.________ avait très probablement une arthrose cervicale débutante préexistante à l'accident. Depuis ce dernier, les douleurs et la raideur cervicale ont nettement augmenté avec développement de névralgies déficitaires sensitives C7 bilatérales mais prédominant à gauche." Selon une attestation du 25 mai 2011 du Dr I.________ (cf. pièce n° 56), l’intéressé présente encore des séquelles de son accident sous forme de douleurs de la hanche gauche lors de la marche et la nuit. Lors des débats de première instance, la belle-sœur de T.________ a déclaré que les suites de l’accident avaient été longues et pénibles, que sa cicatrice n’était pas très jolie et qu’elle savait que son beau-frère était à l’AI pour des problèmes de santé non liés à l'accident. Quant à la décision AI du 1 er décembre 2010, celle-ci mentionne que, depuis le mois de mai 2007, la capacité de travail de T.________ est considérablement restreinte, que son incapacité de travail est totale dans son activité de vigneron indépendant, qu’à partir de mi-2008, une activité adaptée à 50 % aurait été possible, mais qu’un accident du 17 octobre 2008 a entraîné une nouvelle incapacité de travail totale d’une durée de quelques semaines. Au regard de l’examen rhumatologique et de médecine interne pratiqué le 27 janvier 2010, l’Office de l'assurance-invalidité a relevé des limitations fonctionnelles sur le plan médical et arrêté la capacité de travail de l’intéressé à 50 % dans un milieu protégé depuis le 17 janvier 2009.</w:t>
      </w:r>
    </w:p>
    <w:p>
      <w:r>
        <w:rPr>
          <w:b/>
        </w:rPr>
        <w:t>E. 3.3</w:t>
      </w:r>
    </w:p>
    <w:p>
      <w:r>
        <w:t>Cela étant, contrairement à ce que soutient l'appelant, il n'existe aucun motif de s'écarter des avis du médecin traitant, ni du témoignage de la belle-sœur de la victime. Certes, il s’agit de personnes ayant des liens avec T.________ mais reste qu’aucun élément au dossier ne permet de douter de la véracité et de la pertinence de ces divers avis et déclarations. De plus, il n’existe pas de contradictions dans les rapports des médecins, les attestations du Dr I.________ ne faisant que compléter le rapport du Dr [...]. Ces moyens de preuves, probants, doivent donc être pris en considération. Ainsi, au regard des lésions subies, des deux hospitalisations successives pour une durée totale de 18 jours, des constatations médicales, des douleurs perdurant plus de deux ans après l'accident, de l'avis des médecins, du témoignage de la belle-sœur et de la décision AI, on doit admettre que T.________ a droit à une indemnité équitable à titre de réparation morale. S’agissant de la réquisition de preuves demandée par T.________, il n’y a pas lieu d’y donner suite, dès lors que son état de santé a largement et suffisamment été étayé durant la procédure de première instance (cf. supra c. 3.2) et par la décision AI figurant déjà au dossier (cf. pièce n° 57).</w:t>
      </w:r>
    </w:p>
    <w:p>
      <w:r>
        <w:rPr>
          <w:b/>
        </w:rPr>
        <w:t>E. 3.4</w:t>
      </w:r>
    </w:p>
    <w:p>
      <w:r>
        <w:t>Il reste encore à examiner le montant qui doit être alloué au titre de la réparation du  tort moral, la somme de 10'000 fr. octroyée en première instance étant contestée par les deux parties. Au regard des souffrances subies par T.________, on doit admettre que le montant de 10'000 fr. est trop élevé et qu’une indemnité pour tort moral de 6'000 fr. est équitable et suffisante. Cette somme tient compte des souffrances persistantes de la victime, du fait que les événements du 17 octobre 2008 ont été défavorables s'agissant de l'état de santé et des douleurs de ce dernier, mais également des douleurs préexistantes à l’accident même s'il est difficile de distinguer ces dernières de celles qui ont précisément été causées par celui-ci. En outre, il n’y a pas lieu de réduire l’indemnité en raison d’une faute concomitante de T.________. En effet, au moment de la collision, ce dernier marchait à l’intérieur de la bande cyclable et il est désormais établi que l’accident est uniquement dû à une inadvertance de l’automobiliste P.________.</w:t>
      </w:r>
    </w:p>
    <w:p>
      <w:r>
        <w:rPr>
          <w:b/>
        </w:rPr>
        <w:t>E. 4</w:t>
      </w:r>
    </w:p>
    <w:p>
      <w:r>
        <w:t>En définitive, l'appel doit être très partiellement admis, le chiffre II du jugement entrepris étant modifié en ce sens qu'P.________ est le débiteur de T.________ et lui doit prompt versement de la somme de 6'000 fr. avec intérêts à 5 % l'an, dès le 1 er juin 2011 à titre d'indemnité pour tort moral. L'appel joint est quant à lui rejeté dans la mesure où il est recevable. L'appelant, obtenant très partiellement gain de cause, et T.________, étant débouté, les deux parties supportent chacune pour moitié les frais de la présente procédure (art. 428 CPP). L'appelant a en outre droit à une indemnité réduite au sens de l'art. 432 al. 1 CPP, qui doit être arrêtée équitablement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