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273 vom 31. Oktober 2011</w:t>
      </w:r>
    </w:p>
    <w:p>
      <w:r>
        <w:t>VD Tribunal cantonal, 2011-10-31, FR</w:t>
      </w:r>
    </w:p>
    <w:p>
      <w:r>
        <w:rPr>
          <w:b/>
        </w:rPr>
        <w:t xml:space="preserve">Quelle: </w:t>
      </w:r>
      <w:r>
        <w:t>https://mcp.opencaselaw.ch/entscheid/vd_findinfo_Jug___2011___273</w:t>
      </w:r>
    </w:p>
    <w:p>
      <w:r>
        <w:t>FR: VD_FINDINFO Jug / 2011 / 273 du 31 octobre 2011</w:t>
      </w:r>
    </w:p>
    <w:p>
      <w:r>
        <w:t>IT: VD_FINDINFO Jug / 2011 / 273 del 31 ottobre 2011</w:t>
      </w:r>
    </w:p>
    <w:p>
      <w:pPr>
        <w:pStyle w:val="Heading2"/>
      </w:pPr>
      <w:r>
        <w:t>Regeste</w:t>
      </w:r>
    </w:p>
    <w:p>
      <w:r>
        <w:t>DEMANDE ADRESSÉE À L'AUTORITÉ, RÉVISION{DÉCISION} | 410 al. 1 let. a CPP (CH)</w:t>
      </w:r>
    </w:p>
    <w:p>
      <w:pPr>
        <w:pStyle w:val="Heading2"/>
      </w:pPr>
      <w:r>
        <w:t>Erwägungen</w:t>
      </w:r>
    </w:p>
    <w:p>
      <w:r>
        <w:rPr>
          <w:b/>
        </w:rPr>
        <w:t>E. 1</w:t>
      </w:r>
    </w:p>
    <w:p>
      <w:r>
        <w:t>La requête de révision a été déposée le 10 octobre 2011 contre une ordonnance pénale rendue la même année. Partant, c’est le Code de procédure pénale entré en vigueur le 1 er janvier 2011 qui s’applique tant à la procédure qu’aux motifs de la révision (TF 6B_310/2011 du 20 juin 2011 c. 1.1).</w:t>
      </w:r>
    </w:p>
    <w:p>
      <w:r>
        <w:rPr>
          <w:b/>
        </w:rPr>
        <w:t>E. 2</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(Message du Conseil fédéral relatif à l’unification du droit de la procédure pénale du 21 décembre 2005, FF 2006 II 1057 ss, spéc. 1303 ad. art. 417 [actuel art. 410 CPP] ; TF 6B_235/2011 du 30 mai 2011 c. 1.2 et les références citées).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(TF 6B_310/2011 du 20 juin 2011 c. 1.2; ATF 130 IV 72 c. 1).</w:t>
      </w:r>
    </w:p>
    <w:p>
      <w:r>
        <w:rPr>
          <w:b/>
        </w:rPr>
        <w:t>E. 3</w:t>
      </w:r>
    </w:p>
    <w:p>
      <w:r>
        <w:t>La requérante établit, par la production des décisions de prestations complémentaires, qu'elle n'est pas astreinte à payer l'impôt sur les chiens et qu'elle ne l'était pas non plus en 2007 (art. 4 RICC [Règlement du 6 juillet 2005 concernant la perception de l'impôt cantonal sur les chiens, RSV 652.31.1]). En l'espèce, le prononcé préfectoral du 10 novembre 2008 a été rendu sans citation si bien que l'autorité qui a prononcé la condamnation ne connaissait manifestement pas les documents produits par la requérante. Dans la mesure où ces derniers constituent des preuves sérieuses et nouvelles, il convient d'admettre que les conditions d'une révision sont réunies. Au demeurant, on ne saurait reprocher à la requérante de ne pas avoir fait valoir ses moyens à temps, dès lors qu'elle n'a ni été entendue, ni été citée. Il n'est pas non plus établi que le prononcé préfectoral a été rendu valablement moins de dix jours avant l'opposition, le courrier du 15 décembre 2008 de la Préfecture du district de Lausanne démontrant bien plutôt que cette autorité a bien considéré l'opposition de la requérante comme une demande de réexamen. Il apparaît finalement que la requérante n'a jamais modifié sa version des faits et qu'elle a toujours soutenu être au bénéfice d'une rente AI à 100 %, puis de prestations complémentaires.</w:t>
      </w:r>
    </w:p>
    <w:p>
      <w:r>
        <w:rPr>
          <w:b/>
        </w:rPr>
        <w:t>E. 4</w:t>
      </w:r>
    </w:p>
    <w:p>
      <w:r>
        <w:t>Au vu de ces éléments, il convient en définitive d'admettre la demande de révision, d'annuler le prononcé préfectoral du 10 novembre 2008 et l'ordonnance pénale de conversion du 15 septembre 2011 et de libérer R.________ des fins de la poursuite pénale. Il n'est pas perçu de frais pour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