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271 vom 17. Juni 2011</w:t>
      </w:r>
    </w:p>
    <w:p>
      <w:r>
        <w:t>VD Tribunal cantonal, 2011-06-17, FR</w:t>
      </w:r>
    </w:p>
    <w:p>
      <w:r>
        <w:rPr>
          <w:b/>
        </w:rPr>
        <w:t xml:space="preserve">Quelle: </w:t>
      </w:r>
      <w:r>
        <w:t>https://mcp.opencaselaw.ch/entscheid/vd_findinfo_Jug___2011___271</w:t>
      </w:r>
    </w:p>
    <w:p>
      <w:r>
        <w:t>FR: VD_FINDINFO Jug / 2011 / 271 du 17 juin 2011</w:t>
      </w:r>
    </w:p>
    <w:p>
      <w:r>
        <w:t>IT: VD_FINDINFO Jug / 2011 / 271 del 17 giugno 2011</w:t>
      </w:r>
    </w:p>
    <w:p>
      <w:pPr>
        <w:pStyle w:val="Heading2"/>
      </w:pPr>
      <w:r>
        <w:t>Regeste</w:t>
      </w:r>
    </w:p>
    <w:p>
      <w:r>
        <w:t>APPRÉCIATION DES PREUVES, CONSTATATION DES FAITS, IN DUBIO PRO REO, PRÉSOMPTION D'INNOCENCE | 6 par. 2 CEDH, 32 al. 1 Cst.,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L'appelante, qui se déclare innocente, conteste sa condamnation pour lésions corporelles simples qualifiées et voies de fait qualifiées. Elle se fonde sur les déclarations de sa fille, qui a admis avoir menti et mis en cause sa mère sous l'influence d'une camarade de classe.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L'appelant peut alléguer des faits et produire des moyens de preuve nouveaux en procédure d'appel. En effet, la juridiction d'appel ne se borne pas à corriger le jugement attaqué, mais rend un nouveau jugement en se fondant sur ses propres constatations et sur les preuves qu'elle a administrées. Elle peut tenir compte des faits nouveaux proprement dits ( echte nova ) qui sont survenus postérieurement au jugement de première instance, comme par exemple l'aveu d'un tiers intervenu après le jugement pénal, mais aussi des faits nouveau improprement dits ( unechte nova ) qui existaient déjà avant le jugement de première instance. Les faits nouveaux doivent être pris en considération dans la mesure où ils sont pertinents (Kistler Vianin, op. cit., n. 20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En l'espèce, il n'apparaît pas, et A.P.________ ne le prétend pas, que le tribunal aurait renversé le fardeau de la preuve, ni qu'il aurait eu un doute qu'il aurait interprété en défaveur de la prévenue. La seule question est donc de savoir si le premier juge aurait dû éprouver un doute quant à la culpabilité de la prévenue, question qui relève de l'appréciation des preuves. Le tribunal a considéré que les propos que Q.________ avait tenus devant l'infirmière, le médecin et le dentiste scolaires ainsi que devant la police, qu'il a résumés en pages 12 et 13 du jugement, étaient crédibles. Il a écarté les explications que la prévenue avait fournies au sujet des marques sur le corps de sa fille ainsi que sa version – confirmée par le témoignage de [...] et dans une certaine mesure par le témoin [...] – selon laquelle l'enfant aurait menti aux divers intervenants précités. La Cour d'appel pénale, en se fondant sur ses propres constatations et sur les preuves qu'elle a administrées, est en revanche d'avis qu'il subsiste un doute léger mais suffisant quant à la véracité des déclarations initiales de Q.________ et ce, pour les motifs suivants. Tout d'abord, on relèvera qu'en page 11 in fine du jugement, le premier juge a indiqué qu'"un travail éducatif s'est également mis en place autour de la question du mensonge ainsi que des sentiments de jalousie que peut ressentir Q.________ envers B.P.________", sans toutefois examiner les faits ayant conduit à ce travail éducatif. Il ressort du dossier que cette phrase est tirée du rapport du SPJ du 19 octobre 2010, sous la rubrique "observation et avis du foyer de [...]" (pièce 22, p. 3). Il semble en effet que peu après son entrée au foyer le 23 juin 2010, la jeune fille se soit rétractée et ait reconnu avoir menti en ce qui concerne les coups qu'elle et son petit frère auraient reçus de la part de leur mère, comme il résulte du rapport précédent du SPJ du 6 juillet 2010, qui qualifiait à ce moment-là déjà les accusations de la fillette à l'encontre de sa mère d'"appel à l'aide" (pièce 21, p. 1 in fine ). Il se pose dès lors la question de savoir ce qui aurait amené cette enfant à mentir et si sa rétractation est crédible. Sur ce point, la psychologue et thérapeute familiale M.________, qui a vu la jeune fille de façon hebdomadaire près de 40 fois entre le 11 mai 2009 et le 19 août 2010 et qui continue à la suivre sous forme d'entretiens individuels, a indiqué, dans son rapport du 19 août 2010, qu'"il n'y a aucun indice de mauvais traitements, ni physiques ni psychologiques de la part de la mère, par contre il y a une évidence claire d'un stress post-traumatique (…) lié aux agissements du voisin (…) et qu'on peut comprendre la démarche de Q.________ comme une tentative désespérée et certes inadéquate de trouver une solution pour sortir de cette situation inextricable dans laquelle elle se trouve continuellement confrontée à ce voisin dangereux pour elle" (pièce 18). Le SPJ, après avoir rappelé que Q.________ avait été victime de comportements exhibitionnistes de la part de l'un des ses voisins, a, quant à lui, expliqué le revirement de la fillette, d'une part, par les difficultés relationnelles entre elle et sa mère, qu'elle avait de la peine, après tant d'années de séparation, à reconnaître comme telle, et, d'autre part, par le contexte désécurisant dans lequel vivait la famille. Le SPJ a conclu que "l'approche des vacances scolaires d'été a[vait] été un facteur déclenchant dans cette crise familiale, Q.________ craignant de se retrouver à domicile" (pièce 22, p. 4). Dans ces conditions, on pourrait se demander pourquoi l'enfant, qui s'est d'ailleurs très vite intégrée à la vie du foyer et n’a pas posé de problèmes éducatifs particuliers, s'est, peu après son entrée au foyer, "ravis[ée] quant à la demande de placement", pour reprendre les termes du rapport du SPJ du 6 juillet 2010 (pièce 21), laissant ainsi clairement entendre qu'elle souhaitait rentrer chez elle, et pourquoi, de retour à la maison, elle a ensuite affirmé aux intervenants de l'AEMO qu'elle avait peur de retourner au foyer (pièce 50). Une raison possible de ce comportement est que la prénommée a pu être parentifiée, comme le SPJ l'a expressément relevé (pièce 22, p. 4), ce qui, de manière générale, a souvent des effets négatifs sur le développement psychoaffectif des jeunes enfants, et expliquerait en l'occurrence pourquoi la jeune fille a voulu retourner vivre à la maison malgré le contexte familial difficile dans lequel elle se serait retrouvée. Ce nonobstant, rien ne permet d’affirmer que la rétractation de l'enfant, cohérente et répétitive, a été formulée sur injonction d'un tiers ou conditionnée par loyauté à l'environnement familial. On observera que la psychologue précitée, les éducateurs du foyer, qui ont suivi l'enfant jour et nuit du 23 juin au 20 août 2010, et les autres intervenants du SPJ, qui ont continué sa prise en charge à la fin du placement, sont unanimes à reconnaître que la jeune fille s'est rétractée et à mettre en doute la crédibilité de ses accusations à l'encontre de sa mère. Le premier juge n'a pas discuté, dans son jugement, ces divers avis pourtant clairement exposés dans les deux rapports convergents susmentionnés (pièces 18 et 22). Le tribunal a fondé sa conviction sur deux éléments en particulier : l'opinion du médecin scolaire [...] et les déclarations de l'enfant avant son entrée au foyer (jugt, p. 15, par. 1). Or, s'agissant du premier élément, si le médecin a bel et bien décrit les traces sur le corps de Q.________, il n'a toutefois pas indiqué expressément qu'elles étaient compatibles avec les déclarations de cette dernière (pièce 14); en d'autres termes, on ignore si un pincement, un coup de talon, une morsure et une griffure peuvent causer ce qui, vu de l'extérieur, ressemblerait plutôt à des dépigmentations (PV aud. 2, p. 2). Sans vouloir mettre en doute les constatations du médecin scolaire, on observera toutefois que le Dr [...], pédiatre de Q.________, qui a vu cette dernière en septembre, octobre, novembre, décembre 2009 et mars 2010, a, quant à lui, affirmé n'avoir remarqué aucun signe de mauvais traitements (pièce 19). Concernant le second élément, outre le fait que lorsqu'elle a été entendue par l'inspectrice le 22 juin 2010, l'enfant a nuancé les déclarations qu'elles avait faites la veille au Dr [...] et à l'infirmière [...] (voir la comparaison entre les pièces 9 et 14) – ce que la police a également constaté (pièce 12, p. 5) –, on remarquera que ses affirmations ne sont pas exemptes de contradictions avec les faits constatés. Par exemple, elle a affirmé à tort à la police qu'elle n'avait pas été examinée par un médecin; elle a ajouté qu'elle avait parlé des maltraitances qu'elle subissait uniquement à son enseignant et à l'infirmière scolaire, alors qu'il ressort de l'audition de cette dernière, dont il n'y a pas lieu de mettre en doute la fiabilité, qu'elle en avait parlé auparavant à deux élèves de l'école (PV aud. 2, p. 1 in fine ). Enfin, elle a dit au médecin scolaire qu'elle n'était jamais seule avec la psychologue, ce qui est également faux (cf. pièce 18). Ces contradictions ne sont certes pas à elles seules décisives, compte tenu du jeune âge de la fillette et de la perception du déroulement du temps et des événements pour un jeune enfant, et doivent être relativisées. Il s'agit cependant d'éléments à prendre en compte. Ensuite, il ressort des pièces produites en procédure d'appel que Q.________ aurait accusé faussement sa mère sous l'incitation d'une camarade de classe que la prévenue a identifiée sous le nom de [...] (cf. p. 3 ci-avant). Sur ce point, le rapport de l'AEMO du 9 novembre 2011 indique que la jeune fille "a expliqué ses accusations de maltraitance comme une façon de se faire des copines" (pièce 50). Me Jaccottet Tissot, curatrice et conseil d'office des enfants de la prévenue, a également relevé – et confirmé lors des débats d'appel – que Q.________ lui avait dit, à l'occasion de leur rencontre du 4 novembre 2011, avoir "accepté d'accuser faussement sa mère pour s'attirer les bonnes faveurs de cette camarade" (pièce 55), ce que la psychologue M.________ a elle aussi mis en évidence tant dans ses observations du</w:t>
      </w:r>
    </w:p>
    <w:p>
      <w:r>
        <w:rPr>
          <w:b/>
        </w:rPr>
        <w:t>E. 8</w:t>
      </w:r>
    </w:p>
    <w:p>
      <w:r>
        <w:t>novembre 2011 adressées à Me Bloch (pièce 51/2) que lors du contact téléphonique qu'elle a eu avec la curatrice (pièce 55, p. 2 in initio ). Or, compte tenu de l'attitude générale de Q.________, qui a été décrite comme une enfant sans amies (PV aud. 1, p. 2), qui a tendance à s'isoler et qui présente des difficultés à s'intégrer dans un groupe (pièce 22, p. 2 in fine ), on ne peut exclure qu'elle se soit effectivement trouvée sous l'emprise d'une camarade qui l'aurait poussée à mentir sur son compte et sur celui de son petit frère; on rappellera d'ailleurs que les premières personnes à qui elle a, semble-t-il, raconté des prétendues maltraitances qu'elle subissait de la part de sa mère sont des élèves de son école (PV aud. 2, p. 1 in fine ). Le fait qu'elle ait ensuite elle-même demandé de changer d'établissement scolaire est de surcroît symptomatique d'un certain malaise (pièce 22, p. 2 in fine ). S'agissant encore des marques sur son corps, Q.________ a déclaré à la curatrice qu'elles résultaient en réalité de bagarres qu'elle avait eues en Erythrée avec des camarades (pièce 55). La cour de céans n'est pas en mesure de vérifier cette version des faits, pas plus d'ailleurs que celle initiale. On observera simplement que la précision de l'enfant selon laquelle il s'agirait là d'une manière habituelle de jouer dans son pays semble s'accorder avec la remarque de son enseignante, Mme [...], qui a indiqué que la jeune avait "un trop grand contact physique avec les autres élèves, au niveau du toucher" (pièce 50), comportement que la prévenue a qualifié de "difficulté due à une différence culturelle" ( ibidem ). Les témoignages recueillis en première instance constituent au surplus des indices – certes relatifs – en faveur de la prévenue, qui a, depuis le début de l'instruction, toujours collaboré avec les enquêteurs, les représentants des établissements scolaires de sa fille et les divers intervenants du foyer et du SPJ. A.P.________ n'a d'ailleurs pas hésité à se montrer compréhensive vis-à-vis de son enfant (pièce 21) et à admettre à l'audience d'appel que celle-ci était malheureuse (p. 3 ci-avant). Fine et intelligente, l'appelante s'est gardée de parler à sa fille de la procédure pénale en cours et de ce qu'elle avait enduré suite à ses révélations (pièce 55), comportement adéquat d'un point de vue éducatif. En définitive, pris dans leur ensemble, tous les éléments susmentionnés conduisent la Cour d'appel pénale à conclure qu'un doute subsiste au sujet des accusations portées par Q.________ à l'encontre de sa mère, telles que décrites dans l'acte d'accusation et admises par le premier juge. La cour de céans, qui a procédé au visionnement de l'audition de Q.________, est sensible aux déclarations que celle-ci a faites à la police, qu'elle ne considère pas comme complètement farfelues et infondées, et est convaincue, malgré les dénégations de l'appelante (cf. p. 3 ci-dessus), qu'il y a eu punition ou correction, mais ignore en quoi elles ont consisté et si elles relèvent d'un abus du droit de correction parental. On notera enfin qu'aucun élément du dossier ne corrobore les déclarations de Q.________ s'agissant des coups que la prévenue aurait portés à son fils B.P.________. En vertu du principe in dubio pro reo , ce doute doit profiter à la prévenue qui, dans ces circonstances, doit être libérée des chefs d'accusation de lésions corporelles simples qualifiées et de voies de fait qualifiées au sens des art. 123 ch. 2 et 126 ch. 2 let. a CP. Compte tenu de la situation familiale de la prévenue, rendue plus compliquée encore par sa cohabitation récente avec son compagnon, [...], il est important que l'encadrement du SPJ, de l'AEMO et de l'école, ainsi que le suivi psychothérapeutique soient maintenus, comme cela a été recommandé par le SPJ (cf. pièces 49 et 50), afin de permettre à l'appelante de poursuivre ses efforts et consolider ses liens avec Q.________. 4. En définitive, l'appel de A.P.________ doit être admis et le jugement attaqué réformé en ce sens que la prénommée est libérée des accusations de lésions corporelles simples qualifiées et de voies de fait qualifiées et qu'aucune peine n'est prononcée à son encontre. Vu l'issue de la cause, les frais de première instance doivent être laissés à la charge de l'Etat (art. 426 al. 1, 1 ère phrase, CPP), les conditions de l'art. 426 al. 2 CPP n'étant au surplus pas remplies. Il en ira de même des frais d’appel, comprenant l'indemnité allouée au défenseur d'office de l'appelante pour la présente procédure par 2'581 fr. 20 et celle accordée au conseil d'office des enfants Q.________ et B.P.________ par 1'609 fr. 20, TVA et débours inclus. En outre, la Cour d'appel est d'avis qu'il n'y a pas lieu d'accorder à l'appelante une quelconque indemnité au sens de l'art. 429 CPP, vu la prise en charge par l'Etat de l'indemnité de son défenseur d'office, et qu'il n'y a pas matière à allocation d'un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