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263 vom 23. Juni 2011</w:t>
      </w:r>
    </w:p>
    <w:p>
      <w:r>
        <w:t>VD Tribunal cantonal, 2011-06-23, FR</w:t>
      </w:r>
    </w:p>
    <w:p>
      <w:r>
        <w:rPr>
          <w:b/>
        </w:rPr>
        <w:t xml:space="preserve">Quelle: </w:t>
      </w:r>
      <w:r>
        <w:t>https://mcp.opencaselaw.ch/entscheid/vd_findinfo_Jug___2011___263</w:t>
      </w:r>
    </w:p>
    <w:p>
      <w:r>
        <w:t>FR: VD_FINDINFO Jug / 2011 / 263 du 23 juin 2011</w:t>
      </w:r>
    </w:p>
    <w:p>
      <w:r>
        <w:t>IT: VD_FINDINFO Jug / 2011 / 263 del 23 giugno 2011</w:t>
      </w:r>
    </w:p>
    <w:p>
      <w:pPr>
        <w:pStyle w:val="Heading2"/>
      </w:pPr>
      <w:r>
        <w:t>Regeste</w:t>
      </w:r>
    </w:p>
    <w:p>
      <w:r>
        <w:t>PRÉSOMPTION D'INNOCENCE, APPRÉCIATION DES PREUVES | 6 par. 2 CEDH, 10 al. 2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20 jours à compter de la notification du jugement motivé (art. 399 al. 3 CPP). En l'occurrence, interjeté dans les formes et délais légaux, l'appel de D.________, suffisamment motivé au sens de l'art. 399 al. 3 et 4 CPP, est recevable. Il convient donc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erronées des faits et pour inopportunité (al. 3).</w:t>
      </w:r>
    </w:p>
    <w:p>
      <w:r>
        <w:rPr>
          <w:b/>
        </w:rPr>
        <w:t>E. 3</w:t>
      </w:r>
    </w:p>
    <w:p>
      <w:r>
        <w:t>Invoquant l'art. 9 Cst. (Constitution fédérale de la Confédération suisse du 18 avril 1999, RS 101), D.________ se prévaut de la présomption d'innocence et d'une appréciation arbitraire des preuves.</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rPr>
          <w:b/>
        </w:rPr>
        <w:t>E. 3.2</w:t>
      </w:r>
    </w:p>
    <w:p>
      <w:r>
        <w:t>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3.3</w:t>
      </w:r>
    </w:p>
    <w:p>
      <w:r>
        <w:t>S'agissant de l'arbitraire dans l'appréciation des preuves, la jurisprudence estime qu'il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136 III 552 c. 4.2 et les références citées).</w:t>
      </w:r>
    </w:p>
    <w:p>
      <w:r>
        <w:rPr>
          <w:b/>
        </w:rPr>
        <w:t>E. 3.4</w:t>
      </w:r>
    </w:p>
    <w:p>
      <w:r>
        <w:t>En l'espèce, la démonstration de D.________ consiste à faire valoir que, pour différents motifs, l'infraction aurait tout aussi bien pu être commise par P.________, qui a témoigné dans la présente cause et dont les déclarations ne doivent pas être prises pour argent comptant. En procédant de la sorte, l'appelant perd de vue qu'il doit démontrer en quoi le jugement le désignant comme l'auteur de l'infraction serait arbitraire. Contrairement à ce qui est soutenu par l'appelant, le tribunal de première instance ne s'est pas fondé exclusivement sur le témoignage de P.________ pour le condamner. Il a également écarté certaines déclarations du prévenu, au sujet notamment de la couleur du véhicule remis en prêt, considérant qu'aucun véhicule correspondant à la description donnée par l'appelant n'était immatriculée au nom du garage Emil Frey au moment des faits litigieux. Cette constatation peut d'ailleurs être mise en parallèle avec le témoignage de l'épouse du prévenu qui a indiqué que son mari lui avait montré un véhicule de couleur dorée comme étant le véhicule confié. La similitude des déclarations des époux [...] sur la prétendue couleur du véhicule montre que l'appelant a arrangé sa version, soit en obtenant de son épouse un témoignage de complaisance, soit en en lui désignant faussement un autre véhicule dans le but d'échapper à une condamnation. Le tribunal a également écarté les affirmations du prévenu selon lesquelles un formulaire de remise de véhicule avait été établi par l'employé du garage au motif que la direction du garage n'aurait pas manqué de produire lorsqu'elle en a été requise (P.17 et 22). Sur plusieurs points, le tribunal de police s'est donc écarté des explications de l'appelant en se fondant sur des éléments probatoires plus convaincants. Il ne résulte pas de l'argumentation de l'appelant que l'état de fait du premier juge ait été élaboré de façon incomplète ou erronée. Le tribunal de première instance a condamné D.________ sur la base d'une saine appréciation des éléments de preuve figurant au dossier, comprenant non seulement le témoignage de P.________, mais également l'examen des véhicules susceptibles d'avoir été utilisés par l'appelant et des incohérences dans sa version des faits. Il n'y a donc ni violation de la présomption d'innocence, ni appréciation arbitraire des preuves</w:t>
      </w:r>
    </w:p>
    <w:p>
      <w:r>
        <w:rPr>
          <w:b/>
        </w:rPr>
        <w:t>E. 4</w:t>
      </w:r>
    </w:p>
    <w:p>
      <w:r>
        <w:t>En conséquence, l'appel de D.________, qui ne fait qu'opposer une nouvelle fois sa propre version à celle retenue par le tribunal, sans démontrer en quoi le premier juge aurait violé sa présomption d'innocence et serait tombé dans l'arbitraire en le désignant comme l'auteur de l'infraction, doit être rejeté. Vu l'issue de la cause, les frais de procédure d'appel doivent être mis à la charge de l'appelant (art. 428 al. 1, 1 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