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260 vom 9. August 2011</w:t>
      </w:r>
    </w:p>
    <w:p>
      <w:r>
        <w:t>VD Tribunal cantonal, 2011-08-09, FR</w:t>
      </w:r>
    </w:p>
    <w:p>
      <w:r>
        <w:rPr>
          <w:b/>
        </w:rPr>
        <w:t xml:space="preserve">Quelle: </w:t>
      </w:r>
      <w:r>
        <w:t>https://mcp.opencaselaw.ch/entscheid/vd_findinfo_Jug___2011___260</w:t>
      </w:r>
    </w:p>
    <w:p>
      <w:r>
        <w:t>FR: VD_FINDINFO Jug / 2011 / 260 du 9 août 2011</w:t>
      </w:r>
    </w:p>
    <w:p>
      <w:r>
        <w:t>IT: VD_FINDINFO Jug / 2011 / 260 del 9 agosto 2011</w:t>
      </w:r>
    </w:p>
    <w:p>
      <w:pPr>
        <w:pStyle w:val="Heading2"/>
      </w:pPr>
      <w:r>
        <w:t>Regeste</w:t>
      </w:r>
    </w:p>
    <w:p>
      <w:r>
        <w:t>DÉCISION D'IRRECEVABILITÉ, REFUS D'ENTRER EN MATIÈRE SUR CERTAINS GRIEFS | 52 CP, 382 al. 2 CPP (CH)</w:t>
      </w:r>
    </w:p>
    <w:p>
      <w:pPr>
        <w:pStyle w:val="Heading2"/>
      </w:pPr>
      <w:r>
        <w:t>Volltext</w:t>
      </w:r>
    </w:p>
    <w:p>
      <w:r>
        <w:t>Vaud Tribunal cantonal Cour d'appel pénale 16.11.2011 Jug / 2011 / 260</w:t>
      </w:r>
    </w:p>
    <w:p>
      <w:r>
        <w:t>DÉCISION D'IRRECEVABILITÉ, REFUS D'ENTRER EN MATIÈRE SUR CERTAINS GRIEFS | 52 CP, 382 al. 2 CPP (CH)</w:t>
      </w:r>
    </w:p>
    <w:p>
      <w:r>
        <w:t>TRIBUNAL CANTONAL 211 PE07.020778-BBU/EMM/ACP LA COUR D’APPEL PENALE ______________________________________________________ Séance du 16 novembre 2011 __________________ Présidence de               Mme Rouleau Juges :              Mme Favrod et M. Meylan Greffière :              Mme Choukroun ***** Parties à la présente cause : E.________ , prévenu, représenté par Me Kathrin Gruber, avocate à Lausanne, appelant A.________ , plaignante, représentée par Me Paul-Arthur Treyvaud, avocat à Lausanne, appelant et MINISTERE PUBLIC , représenté par le Procureur de l'arrondissement de l'Est vaudois, intimé. La Cour d’appel pénale, Vu le jugement du 9 août 2011 par lequel le Tribunal de police de l'arrondissement de l'Est vaudois a notamment libéré A.________ des infractions de diffamation, calomnie, violation du devoir d'assistance et d'éducation et dénonciation calomnieuse (I); a libéré E.________ de l'infraction du devoir d'assistance et d'éducation (II); a constaté que E.________ s'était rendu coupable de dommages à la propriété mais a renoncé à lui infliger une peine (III); a maintenu au dossier, à titre de pièce à conviction, les enregistrements figurant sous fiche [...] et [...] (IV) et laissé les frais à la charge de l'Etat, comprenant l'indemnité allouée à Me Treyvaud par 8'000 fr. et l'indemnité allouée à Me Gruber par 2'000 fr. (V), vu la déclaration d'appel déposée par E.________ le 12 septembre 2011 contre ce jugement, vu la déclaration d'appel joint déposée par A.________ le 30 septembre 2011, concluant sous suite de frais et dépens à sa réforme en ce sens que E.________ est non seulement reconnu coupable de dommages à la propriété mais qu'il est également condamné pour cela à une peine que justice dira, vu la demande de non entrée en matière déposée le 6 octobre 2011 par E.________ contre l'appel joint, vu les déterminations de A.________ datées du 11 novembre 2011, attendu que l'art. 382 al. 2 CPP prévoit que la partie plaignante ne peut pas interjeter recours sur la question de la peine prononcée, que, par son appel joint, A.________ conteste l'exemption de peine dont a bénéficié E.________, que E.________ soutient dès lors à juste titre que l'appel joint est irrecevable, que A.________ prétend qu'il en irait autrement en cas d'application de l'art. 52 CP, que l'art. 382 al. 2 CPP ne fait pas une telle distinction, qu'il faut donc refuser d'entrer en matière sur l'appel joint de A.________, que la présente décision peut être rendue sans frais. Par ces motifs, la Cour d’appel pénale, en application de l'art. 382 al. 2 CPP, prononce : I. Il n'est pas entré en matière sur l'appel joint de A.________ II. La présente décision est rendue sans frais. La présidente :               La greffière : Du La décision qui précède, dont la rédaction a été approuvée à huis clos, est notifiée, par l'envoi d'une copie complète, à : - Me Kathrin Gruber, avocate (pour E.________), - Me Paul-Arthur Treyvaud, avocat (pour A.________), - Ministère public central, et communiqué à : ‑ Mme la Présidente du Tribunal d'arrondissement de l'Est vaudois,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