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246 vom 2. November 2011</w:t>
      </w:r>
    </w:p>
    <w:p>
      <w:r>
        <w:t>VD Tribunal cantonal, 2011-11-02, FR</w:t>
      </w:r>
    </w:p>
    <w:p>
      <w:r>
        <w:rPr>
          <w:b/>
        </w:rPr>
        <w:t xml:space="preserve">Quelle: </w:t>
      </w:r>
      <w:r>
        <w:t>https://mcp.opencaselaw.ch/entscheid/vd_findinfo_Jug___2011___246</w:t>
      </w:r>
    </w:p>
    <w:p>
      <w:r>
        <w:t>FR: VD_FINDINFO Jug / 2011 / 246 du 2 novembre 2011</w:t>
      </w:r>
    </w:p>
    <w:p>
      <w:r>
        <w:t>IT: VD_FINDINFO Jug / 2011 / 246 del 2 novembre 2011</w:t>
      </w:r>
    </w:p>
    <w:p>
      <w:pPr>
        <w:pStyle w:val="Heading2"/>
      </w:pPr>
      <w:r>
        <w:t>Regeste</w:t>
      </w:r>
    </w:p>
    <w:p>
      <w:r>
        <w:t>COMPÉTENCE RATIONE MATERIAE, COMPÉTENCE RATIONE TEMPORIS, DÉCISION D'IRRECEVABILITÉ, ASSURANCE-MALADIE PRIVÉE | 12 al. 2 LAMal, 12 al. 3 LAMal, 85 al. 1 LSA</w:t>
      </w:r>
    </w:p>
    <w:p>
      <w:pPr>
        <w:pStyle w:val="Heading2"/>
      </w:pPr>
      <w:r>
        <w:t>Erwägungen</w:t>
      </w:r>
    </w:p>
    <w:p>
      <w:r>
        <w:rPr>
          <w:b/>
        </w:rPr>
        <w:t>E. 2</w:t>
      </w:r>
    </w:p>
    <w:p>
      <w:r>
        <w:t>novembre 2011 __________________ Présidence de               M. Jomini , juge unique Greffière :              Mme Favre ***** Cause pendante entre : C.________ , à Lausanne, demandeur, et B.________ , à Dübendorf, défenderesse. _______________ Art. 12 al. 2 et 3 LAMal; 85 al. 1 LSA E n  f a i t  : A. C.________, né en 1946, a, d’après un document « police d’assurance LCA » établi par B.________ (ci-après : B.________) en octobre 2011 conclu les « assurances complémentaires selon la LCA » suivantes auprès d’B.________ (document valable dès le 1 er janvier 2012) : - [...], assurance complémentaire des soins pour prestations spéciales ; - [...], assurance de protection juridique ; - [...], assurance complémentaire d’hospitalisation, division commune, dans toute la Suisse ; - [...], assurance des soins de longue durée (prime mensuelle pour cette assurance complémentaire : 13 fr. 40). La police mentionne, à propos de chaque assurance complémentaire, que les conditions générales d’assurance (CGA) et les conditions supplémentaires d’assurance (CSA) sont déterminantes. Il est en outre indiqué : « Si le contenu de cette police ne correspond pas à ce qui a été convenu, veuillez nous en informer dans les 4 semaines. Sans nouvelles de votre part, nous considérerons que vous l’acceptez ». Les conditions supplémentaires d’assurance [...] Assurance des soins de longue durée (CSA [...]) en définissent ainsi le but : « [...] accorde une protection d’assurance en cas de maladie chronique ou de suites d’accident chroniques jusqu’au montant du forfait journalier assuré pour les frais non couverts de séjour et de pension lors des soins stationnaires ainsi que pour les frais non couverts d’assistance et d’aide ménagère lors de soins ambulatoires au domicile » (ch. 1). B. Le 26 octobre 2011, C.________ a écrit à B.________ pour signifier qu’il « refusait le contrat envoyé, qui comprend l’affiliation à [...] », et en demandant de « renvoyer pour 2012 une police identique à celle valable pour 2011, sans ajout ». Il a exposé qu’il n’avait jamais songé à conclure l’assurance complémentaire [...]. C. Par un acte daté du 27 octobre 2011 et mis à la poste le 30 octobre 2011, C.________ s’adresse à la Cour des assurances sociales du Tribunal cantonal. Il se réfère à sa lettre du 26 octobre 2011 à B.________ et conclut ainsi : « Je considère qu’il y a non respect de ma volonté, de manière délibérée, et demande la condamnation d’un tel procédé ». E n  d r o i t  : 1. Le contrat d’assurance litigieux, qui porte sur une assurance complémentaire à l’assurance-maladie sociale, relève du droit privé. Il est soumis à la législation civile fédérale, notamment à la loi fédérale sur le contrat d’assurance (LCA ; RS 221.229.1), et non pas à la législation de droit public sur l’assurance-maladie sociale (loi fédérale du 18 mars 1994 sur l’assurance-maladie [LAMal], RS 832.10 ; cf. art. 12 al. 2 et</w:t>
      </w:r>
    </w:p>
    <w:p>
      <w:r>
        <w:rPr>
          <w:b/>
        </w:rPr>
        <w:t>E. 3</w:t>
      </w:r>
    </w:p>
    <w:p>
      <w:r>
        <w:t>Il se justifie de statuer sans frais ni dépens. Par ces motifs, le juge unique : I. Déclare la demande irrecevable. II. Dit  qu’il n’est pas perçu de frais judiciaires ni alloué de dépens. Le juge unique :               La greffière : Du Le jugement qui précède est notifié à : ‑ M. C.________ ‑ B.________ par l'envoi de photocopies.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