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232 vom 14. Juli 2011</w:t>
      </w:r>
    </w:p>
    <w:p>
      <w:r>
        <w:t>VD Tribunal cantonal, 2011-07-14, FR</w:t>
      </w:r>
    </w:p>
    <w:p>
      <w:r>
        <w:rPr>
          <w:b/>
        </w:rPr>
        <w:t xml:space="preserve">Quelle: </w:t>
      </w:r>
      <w:r>
        <w:t>https://mcp.opencaselaw.ch/entscheid/vd_findinfo_Jug___2011___232</w:t>
      </w:r>
    </w:p>
    <w:p>
      <w:r>
        <w:t>FR: VD_FINDINFO Jug / 2011 / 232 du 14 juillet 2011</w:t>
      </w:r>
    </w:p>
    <w:p>
      <w:r>
        <w:t>IT: VD_FINDINFO Jug / 2011 / 232 del 14 luglio 2011</w:t>
      </w:r>
    </w:p>
    <w:p>
      <w:pPr>
        <w:pStyle w:val="Heading2"/>
      </w:pPr>
      <w:r>
        <w:t>Regeste</w:t>
      </w:r>
    </w:p>
    <w:p>
      <w:r>
        <w:t>FIXATION DE LA PEINE, VOL{DROIT PÉNAL}, UTILISATION FRAUDULEUSE D'UN ORDINATEUR, VIOLATION DE DOMICILE, CONCOURS D'INFRACTIONS | 139 ch. 1 CP, 147 CP, 186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tribunal a prononcé une "peine d'ensemble", en réalité une peine partiellement complémentaire au sens de l'art. 49 al. 2 CP.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6B_28/2008 du 10 avril 2008 c. 3.3). Le juge n'est toutefois pas lié par le genre de peine infligée lors du premier jugement (Jürg-Beat Ackermann, Basler Kommentar, Strafrecht I, 2 éd., 2007, n. 71 ad art. 49 CP). Dès lors que certaines infractions ont été commises avant des condamnations antérieures, l'art. 49 al. 2 CP a été appliqué à juste titre.</w:t>
      </w:r>
    </w:p>
    <w:p>
      <w:r>
        <w:rPr>
          <w:b/>
        </w:rPr>
        <w:t>E. 4</w:t>
      </w:r>
    </w:p>
    <w:p>
      <w:r>
        <w:t>L'appel porte sur la question de la durée de la peine, l'appelant reprochant au premier juge de lui avoir infligé une peine trop sévère, en ne tenant pas compte de l'absence de récidive depuis sa libération provisoire, démontrant ainsi une prise de conscience de sa part.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w:t>
      </w:r>
    </w:p>
    <w:p>
      <w:r>
        <w:rPr>
          <w:b/>
        </w:rPr>
        <w:t>E. 4.2</w:t>
      </w:r>
    </w:p>
    <w:p>
      <w:r>
        <w:t>En l'espèce, à décharge de l'appelant, le premier juge a pris en considération sa volonté d'amendement. Il a en effet tenu compte du fait que ce dernier a restitué aux débats, la somme d'argent volée à N.________ et a, par ailleurs, souvent déposé les porte-monnaie des plaignants, certes délestés de leur numéraire et de leurs cartes de crédit, dans des boîtes aux lettres. A charge, le premier juge a retenu le concours d'infractions et les nombreux antécédents judiciaires de l'appelant (jgt, p. 12). Cette appréciation n'est pas critiquable et on ne voit pas en quoi le fait de ne pas commettre de nouvelles infractions pourrait constituer une circonstance à décharge de l'appelant, cet élément concernant tout au plus la problématique du sursis qui ne se pose pas in casu, compte tenu des nombreux antécédents de ce dernier. Ce moyen doit donc être rejeté.</w:t>
      </w:r>
    </w:p>
    <w:p>
      <w:r>
        <w:rPr>
          <w:b/>
        </w:rPr>
        <w:t>E. 4.3</w:t>
      </w:r>
    </w:p>
    <w:p>
      <w:r>
        <w:t>L'appelant soutient que sa peine doit être atténuée au vu du lien de dépendance qui existait entre lui-même et ses compatriotes qui l'hébergeaient et le contraignaient ensuite à commettre des délits en leur faveur. L'art. 48 let. a ch. 4 CP qui prévoit que le juge atténue la peine si l'auteur a agi sous l'ascendant d'une personne à laquelle il devait obéissance ou de laquelle il dépendait, ne trouve pas application en l'espèce. En effet, les déclarations du prévenu aux débats de première instance, tendant à démontrer un éventuel lien de dépendance vis-à-vis de ses compatriotes, vont à l'encontre de ce que ce dernier avait allégué lors de son audition du 24 février 2009 (cf. procès-verbal n° 1, p. 3). Ce dernier admettait : "Je suis formel, je ne vole jamais avec un complice. Je fais mes conneries tout seul et je les assume". Au demeurant, le fait qu'il ait été condamné à sept reprises depuis 1998 prouve qu'hébergé ou non par des compatriotes, P.________ commet régulièrement des infractions. Ce moyen doit donc également être rejeté.</w:t>
      </w:r>
    </w:p>
    <w:p>
      <w:r>
        <w:rPr>
          <w:b/>
        </w:rPr>
        <w:t>E. 4.4</w:t>
      </w:r>
    </w:p>
    <w:p>
      <w:r>
        <w:t>L'appelant allègue ensuite que son repentir sincère n'a pas été suffisamment pris en compte par le premier juge. En réalité, le premier juge n'a pas tenu compte du repentir sincère. A juste titre. La jurisprudence en la matière exige un geste de l'accusé qui doit apparaître comme un effort particulier, spontané et désintéressé et non comme étant dicté par des considérations tactiques liées à la crainte de la sanction prochaine (Code pénal annoté, note 1.12 ad. art. 48 CP). En l'occurrence, le remboursement de la somme volée à la plaignante N.________ lors des débats du 14 juillet 2011, soit plus de deux ans après les faits, effectué en échange d'un retrait de plainte, ne réalise manifestement pas les conditions de l'art. 48 CP.</w:t>
      </w:r>
    </w:p>
    <w:p>
      <w:r>
        <w:rPr>
          <w:b/>
        </w:rPr>
        <w:t>E. 4.5</w:t>
      </w:r>
    </w:p>
    <w:p>
      <w:r>
        <w:t>Enfin, l'appelant plaide le vol par état de nécessité dès lors qu'il a voulu limiter le dommage de ses victimes en mettant le porte-monnaie vidé de son contenu, dans une boîte aux lettres. Selon l'art. 17 CP, quiconque commet un acte punissable pour préserver d'un danger imminent et impossible à détourner autrement un bien juridique lui appartenant agit de manière licite s'il sauvegarde ainsi des intérêts prépondérants. En l'espèce, on ne voit pas de quel danger imminent et impossible à détourner autrement, l'appelant voulait préserver un bien juridique lui appartenant au sens de cette disposition. D'ailleurs, l'appelant ne le dit lui-même pas. Ce moyen est donc infondé et doit être écarté.</w:t>
      </w:r>
    </w:p>
    <w:p>
      <w:r>
        <w:rPr>
          <w:b/>
        </w:rPr>
        <w:t>E. 5</w:t>
      </w:r>
    </w:p>
    <w:p>
      <w:r>
        <w:t>En définitive, on constate que le premier juge a pris en compte les éléments à charge et à décharge qui sont établis. Il a ainsi appliqué correctement l'art. 47 CP et a traité la question de la peine partiellement complémentaire (jgt, p. 13). Ce dernier point n'est d'ailleurs pas critiqué par l'appelant. Ainsi, la peine de huit mois retenue par le premier juge est parfaitement justifiée et adéquate. Au vu de ces éléments, l'appel doit être entièrement rejeté et le jugement attaqué confirmé. Vu l'issue de la cause, les frais de procédure doivent être mis à la charge de l’appelant (art. 428 al. 1, 1 ère phrase, CPP). Outre l'émolument, ces frais comprennent l’indemnité allouée à défenseur d’office (cf. art. 138 et 422 al. 2 let. a CPP ; art. 2 al. 2 ch. 1 TFJP), arrêtée à 1'166 fr. 40 (mille cent soixante-six francs et quarante centimes), TVA et débours compris. 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