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228 vom 12. Juli 2011</w:t>
      </w:r>
    </w:p>
    <w:p>
      <w:r>
        <w:t>VD Tribunal cantonal, 2011-07-12, FR</w:t>
      </w:r>
    </w:p>
    <w:p>
      <w:r>
        <w:rPr>
          <w:b/>
        </w:rPr>
        <w:t xml:space="preserve">Quelle: </w:t>
      </w:r>
      <w:r>
        <w:t>https://mcp.opencaselaw.ch/entscheid/vd_findinfo_Jug___2011___228</w:t>
      </w:r>
    </w:p>
    <w:p>
      <w:r>
        <w:t>FR: VD_FINDINFO Jug / 2011 / 228 du 12 juillet 2011</w:t>
      </w:r>
    </w:p>
    <w:p>
      <w:r>
        <w:t>IT: VD_FINDINFO Jug / 2011 / 228 del 12 luglio 2011</w:t>
      </w:r>
    </w:p>
    <w:p>
      <w:pPr>
        <w:pStyle w:val="Heading2"/>
      </w:pPr>
      <w:r>
        <w:t>Regeste</w:t>
      </w:r>
    </w:p>
    <w:p>
      <w:r>
        <w:t>PLAINTE PÉNALE, RETRAIT{VOIE DE DROIT}, FIXATION DE LA PEINE, PEINE PÉCUNIAIRE, PEINE COMPLÉMENTAIRE, SURSIS À L'EXÉCUTION DE LA PEINE, FRAIS JUDICIAIRES, FIXATION DE L'AMENDE | 106 al. 3 CP, 34 al. 2 CP, 42 al. 1 CP, 47 CP, 49 al. 2 CP, 426 al. 2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Vu le retrait de plaintes intervenu à l'audience du 7 octobre 2011, A.M.________ doit être libéré des infractions de menaces et de violation d'une obligation d'entretien, celles-ci ne se poursuivant que sur plainte. Il reste donc à examiner les conséquences sur la peine de l'abandon de ces deux infractions, la question du sursis et le sort des frais de première et de seconde instance, A.M.________ ayant, au cours des débats, expressément limité son appel à ces points (cf. art. 399 al. 4 CPP), à l'exclusion des griefs concernant les art. 169 et 292 CP (p. 5 ci-avant).</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6B_28/2008 du 10 avril 2008 c. 3.3). Le juge n'est toutefois pas lié par le genre de peine infligée lors du premier jugement (Jürg-Beat Ackermann, Basler Kommentar, Strafrecht I, 2 éd., 2007, n. 71 ad art. 49 CP). S'il y a plusieurs infractions anciennes et plusieurs condamnations antérieures, il faut rattacher chacune de ces infractions à la condamnation qui a suivi la commission de l'acte, créant ainsi des groupes d'infractions. Le juge détermine ensuite l'infraction la plus grave induisant la peine de base, à laquelle viendront s'ajouter les peines additionnelles (ou complémentaires) de chaque groupe (ATF 116 IV 14, c. 2c).</w:t>
      </w:r>
    </w:p>
    <w:p>
      <w:r>
        <w:rPr>
          <w:b/>
        </w:rPr>
        <w:t>E. 3.1.2</w:t>
      </w:r>
    </w:p>
    <w:p>
      <w:r>
        <w:t>Quant à la quotité du jour-amende, l'art. 34 al. 2 CP prévoit qu'elle est de 3'000 fr. au plus. Le juge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3.1.3</w:t>
      </w:r>
    </w:p>
    <w:p>
      <w:r>
        <w:t>La réglementation en matière de fixation de l'amende, prévue à l'art. 106 al. 3 CP, dispose que le juge fixe l'amende et la peine privative de liberté de substitution en tenant compte de la situation de l'auteur afin que la peine corresponde à la faute commise. C'est prise dans son ensemble que la peine prononcée doit correspondre à la culpabilité de l'auteur telle qu'elle est définie par la loi et c'est en regard de la sanction globale que l'autorité de céans doit examiner si la quotité de la peine pécuniaire et l'amende ont été fixées conformément aux principes qui viennent d'être rappelés (TF 6S.677/1996 du</w:t>
      </w:r>
    </w:p>
    <w:p>
      <w:r>
        <w:rPr>
          <w:b/>
        </w:rPr>
        <w:t>E. 3.2.1</w:t>
      </w:r>
    </w:p>
    <w:p>
      <w:r>
        <w:t>En l'espèce, A.M.________ doit être condamné, en définitive, pour les infractions de détournement de valeurs patrimoniales mises sous main de justice et d'insoumission à une décision de l'autorité, la première infraction étant punissable d'une peine privative de liberté de trois ans au plus ou d'une peine pécuniaire (art. 169 CP) et la seconde d'une amende (art. 292 CP). La Cour d'appel pénale constate tout d'abord que le prénommé en est à sa cinquième condamnation en six ans. Sous l'angle de la gravité de la faute, on tiendra compte de la durée des faits incriminés, qui s'étendent sur plus d'une année, et du comportement de l'appelant, qui n'a pas hésité à mentir aux autorités, comme l'a indiqué le tribunal, allant jusqu'à déclarer faussement, par téléphone, à la secrétaire de l'Office du juge d'instruction que sa mère, avec laquelle il était en mauvais termes (p. 3 ci-dessus), était décédée (cf. procès-verbal des opérations, p. 4 in initio ; jugt, pp. 22 et 24). Il faut encore relever que la bonne attitude du prévenu à l'audience d'appel, qui a fini par admettre les faits et qui a versé séance tenante à la plaignante la somme de 9'000 fr. à titre d'arriérés de pension alimentaire, s'engageant en outre à s'acquitter en trois fois du montant de 3'500 fr. pour les frais d'intervention pénale du conseil de l'intimée, contrebalance dans une certaine mesure son mauvais comportement en cours d'enquête. Enfin, force est de constater que la peine qui doit être infligée à A.M.________ pour les deux infractions de détournement de valeurs patrimoniales mises sous main de justice et d'insoumission à une décision de l'autorité est partiellement complémentaire non seulement à celle prononcée le 25 janvier 2011 par le Ministère public de l'arrondissement de Lausanne (jugt, p. 25), mais également à celle infligée le 26 mars 2009 par le Juge d'instruction du Nord vaudois, ce que le premier juge a omis de constater. En l'occurrence, on a affaire à deux groupes d'infractions, soit celles commises avant le 26 mars 2009 et celles perpétrées après cette date. Toutefois, dans la mesure où les deux nouvelles infractions susmentionnées, qui, à quelques semaines près, couvrent la même période, ont été commises principalement avant la condamnation de A.M.________ pour escroquerie en date du 26 mars 2009 (soit onze mois avant et deux mois après cette date), la peine additionnelle pour ces deux infractions est pratiquement entièrement complémentaire à la peine pécuniaire de nonante jours-amende et à l'amende de 900 fr. infligées au prévenu à la date précitée. Ainsi, si on avait eu à connaître des trois infractions (escroquerie, détournement de valeurs patrimoniales mises sous main de justice et insoumission à une décision de l'autorité) en même temps, on aurait prononcé une peine d'ensemble de cent trente jours-amende et 1'900 fr. d'amende. En conséquence, a u vu de ce qui précède, et compte tenu en particulier de l'abandon des infractions de menaces et de violation d'une obligation d'entretien, il convient d'infliger à A.M.________ une peine pécuniaire de quarante jours-amende et de confirmer l'amende de 1'000 fr. ainsi que la peine privative de liberté de substitution de 10 jours fixées par le premier juge, le taux de conversion de l'amende en peine privative de liberté de substitution à 100 fr. le jour étant pour le surplus adéquat (cf. ch. 3.2.2 ci-dessous).</w:t>
      </w:r>
    </w:p>
    <w:p>
      <w:r>
        <w:rPr>
          <w:b/>
        </w:rPr>
        <w:t>E. 3.2.2</w:t>
      </w:r>
    </w:p>
    <w:p>
      <w:r>
        <w:t>Reste à déterminer le montant du jour-amende. Le prénommé a indiqué aux débats d'appel (p. 5 ci-dessus) qu'il percevait entre 4'000 fr. et 6'000 fr. par mois, soit une moyenne de 5'000 fr., auxquels il faut encore ajouter, comme il ressort de la pièce 55, le montant des saisies de salaire ascendant à 1'500 fr. par mois, à savoir 700 fr. à titre de pension alimentaire et 800 fr. versés à l'Office des poursuites, ce qui donne une somme de 6'500 fr. Il s'est référé au surplus au salaire moyen de 7'611 fr. qui figure en page 25 du jugement entrepris; ce montant correspond, après déduction des 1'500 fr. susmentionnés, à 6'111 fr. par mois. Les autres montants déductibles sont ses primes d'assurance-maladie, par 280 fr., ses frais de déplacement, qui s'élèvent à 300 fr., ses frais de repas, par 250 fr., et la moitié du minimum vital du couple qui ascende à 850 francs. Partant, le total des charges de l'appelant se monte à 1'680 fr., ce qui, au vu du revenu moyen le plus favorable mentionné ci-avant, savoir 6'111 fr., lui laisse un disponible de 4'431 fr., soit 147 fr. 70 par jour. Partant, le montant de 130 fr. retenu par le tribunal est adéquat et peut être confirmé.</w:t>
      </w:r>
    </w:p>
    <w:p>
      <w:r>
        <w:rPr>
          <w:b/>
        </w:rPr>
        <w:t>E. 4</w:t>
      </w:r>
    </w:p>
    <w:p>
      <w:r>
        <w:t>Il faut encore examiner si la peine de quarante jours-amende infligée à A.M.________ peut être assortie du sursis.</w:t>
      </w:r>
    </w:p>
    <w:p>
      <w:r>
        <w:rPr>
          <w:b/>
        </w:rPr>
        <w:t>E. 4.1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 ATF 134 IV 1 c. 4.2.2 pp.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134 IV 1 c. 4.2.1 p. 5). Pour p 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4.2</w:t>
      </w:r>
    </w:p>
    <w:p>
      <w:r>
        <w:t>En l'espèce, compte tenu de la conciliation intervenue à l'audience d'appel et de l'admission des infractions retenues en définitive, la Cour d'appel considère que A.M.________ a montré une prise de conscience permettant de considérer que le pronostic n'est pas défavorable. En conséquence, A.M.________ peut être mis au bénéfice du sursis, la sanction qui lui est infligée étant pour le surplus partiellement complémentaire à deux autres peines prononcées elles aussi avec sursis.</w:t>
      </w:r>
    </w:p>
    <w:p>
      <w:r>
        <w:rPr>
          <w:b/>
        </w:rPr>
        <w:t>E. 4.3</w:t>
      </w:r>
    </w:p>
    <w:p>
      <w:r>
        <w:t>En définitive, c'est une peine pécuniaire de quarante jours-amende à 130 fr. le jour-amende, avec sursis pendant deux ans, et une amende de 1'000 fr. qu'il convient de prononcer.</w:t>
      </w:r>
    </w:p>
    <w:p>
      <w:r>
        <w:rPr>
          <w:b/>
        </w:rPr>
        <w:t>E. 5</w:t>
      </w:r>
    </w:p>
    <w:p>
      <w:r>
        <w:t>En conclusion, l'appel de A.M.________ est partiellement admis dans la mesure décrite ci-dessus.</w:t>
      </w:r>
    </w:p>
    <w:p>
      <w:r>
        <w:rPr>
          <w:b/>
        </w:rPr>
        <w:t>E. 6</w:t>
      </w:r>
    </w:p>
    <w:p>
      <w:r>
        <w:t>Reste à statuer sur le sort des frais de la procédure.</w:t>
      </w:r>
    </w:p>
    <w:p>
      <w:r>
        <w:rPr>
          <w:b/>
        </w:rPr>
        <w:t>E. 6.1</w:t>
      </w:r>
    </w:p>
    <w:p>
      <w:r>
        <w:t>S eul un comportement fautif au regard du droit civil peut justifier la mise des frais à la charge du prévenu contre lequel la plainte retirée avait été déposée (JT 1992 IV 52). Le comportement fautif du prévenu doit être à l'origine de l'ouverture de l'enquête pénale ou alors, il doit s'agir d'une "faute procédurale", c'est-à-dire d'un comportement qui a compliqué ou prolongé la procédure, pour que les frais y relatifs puissent être mis à la charge de celui-ci. Selon le principe de la causalité des frais, le comportement du prévenu doit également être à l'origine des frais pour que ceux-ci puissent lui être imputés. Il faut que le prévenu ait clairement violé une norme de comportement écrite ou non écrite, résultant de l'ordre juridique suisse dans son ensemble, pour permettre une application analogique de l'art. 41 CO (Loi fédérale du 30 mars 1911 complétant le code civil suisse, RS 220; Chapuis, Commentaire romand, Code de procédure pénale suisse, op. cit., n. 2 ad art. 426 CPP).</w:t>
      </w:r>
    </w:p>
    <w:p>
      <w:r>
        <w:rPr>
          <w:b/>
        </w:rPr>
        <w:t>E. 6.2</w:t>
      </w:r>
    </w:p>
    <w:p>
      <w:r>
        <w:t>En l'espèce, i l est établi que le comportement de A.M.________ est à l'origine de l'ouverture de l'action pénale et que ce n'est finalement qu'en raison du retrait de plaintes de X.________ à l'audience d'appel que le prévenu a été libéré des chefs d'accusation de menaces et de violation d'une obligation d'entretien. Le comportement de l'appelant, qui, au demeurant, a prolongé la procédure en refusant de s'acquitter, en cours d'enquête, des contributions d'entretien dues à sa fille alors qu'il en avait les moyens (jugt, p. 20) et en contestant la plupart des éléments de fait pourtant dûment prouvés, se trouve à l'évidence en lien de causalité avec les frais de justice engagés dans la présente cause. Il se justifie donc de mettre à sa charge l'entier des frais de première instance, dont le montant est pour le surplus conforme au tarif des frais judiciaires pénaux .</w:t>
      </w:r>
    </w:p>
    <w:p>
      <w:r>
        <w:rPr>
          <w:b/>
        </w:rPr>
        <w:t>E. 6.3</w:t>
      </w:r>
    </w:p>
    <w:p>
      <w:r>
        <w:t>Vu l'issue de la cause, les frais de la procédure d'appel comprenant l'indemnité allouée au défenseur d'office de A.M.________, par 2'386 fr. 80, TVA incluse, sont mis pour un tiers à la charge de l’appelant (art. 428 al. 1 et al. 2 let. a CPP), étant précisé que le prénommé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