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222 vom 4. Mai 2011</w:t>
      </w:r>
    </w:p>
    <w:p>
      <w:r>
        <w:t>VD Tribunal cantonal, 2011-05-04, FR</w:t>
      </w:r>
    </w:p>
    <w:p>
      <w:r>
        <w:rPr>
          <w:b/>
        </w:rPr>
        <w:t xml:space="preserve">Quelle: </w:t>
      </w:r>
      <w:r>
        <w:t>https://mcp.opencaselaw.ch/entscheid/vd_findinfo_Jug___2011___222</w:t>
      </w:r>
    </w:p>
    <w:p>
      <w:r>
        <w:t>FR: VD_FINDINFO Jug / 2011 / 222 du 4 mai 2011</w:t>
      </w:r>
    </w:p>
    <w:p>
      <w:r>
        <w:t>IT: VD_FINDINFO Jug / 2011 / 222 del 4 maggio 2011</w:t>
      </w:r>
    </w:p>
    <w:p>
      <w:pPr>
        <w:pStyle w:val="Heading2"/>
      </w:pPr>
      <w:r>
        <w:t>Regeste</w:t>
      </w:r>
    </w:p>
    <w:p>
      <w:r>
        <w:t>VOIES DE FAIT, INJURE, MENACE{DROIT PÉNAL}, PRÉSOMPTION D'INNOCENCE | 126 al. 1 CP, 177 al. 2 CP, 177 CP, 180 al. 1 CP, 433 al. 3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(Kistler Vianin, in: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y a donc lieu d'entrer en matière sur le fond.</w:t>
      </w:r>
    </w:p>
    <w:p>
      <w:r>
        <w:rPr>
          <w:b/>
        </w:rPr>
        <w:t>E. 1.2</w:t>
      </w:r>
    </w:p>
    <w:p>
      <w:r>
        <w:t>En vertu de l'art. 406 al. 2 let. b CPP, l'appel peut être traité en procédure écrite lorsque l'appel est dirigé contre un jugement rendu par un juge unique et que les parties y consentent. En l'espèce, le jugement dont il est fait appel a été rendu par le Tribunal de police, constitué d'un juge unique, et les parties ont consenti à ce qu'il soit traité en procédure écrite.</w:t>
      </w:r>
    </w:p>
    <w:p>
      <w:r>
        <w:rPr>
          <w:b/>
        </w:rPr>
        <w:t>E. 2</w:t>
      </w:r>
    </w:p>
    <w:p>
      <w:r>
        <w:t>Aux termes de l'art. 398 CPP, la juridiction d'appel jouit d'un plein pouvoir d'examen sur tous les points attaqués du jugement (al. 2). L'appel peut être formé pour violation du droit, y compris l'excès ou l'abus du pouvoir d'appréciation, le déni de justice et le retard injustifié, pour constatation incomplète ou erronée des faits et pour inopportunité (al. 3).</w:t>
      </w:r>
    </w:p>
    <w:p>
      <w:r>
        <w:rPr>
          <w:b/>
        </w:rPr>
        <w:t>E. 3</w:t>
      </w:r>
    </w:p>
    <w:p>
      <w:r>
        <w:t>Y.________ conteste les faits tels qu'ils ont été retenus dans l'acte d'accusation et dans le jugement entrepris. Il soutient que du moment où le jugement querellé n'est pas en mesure de retenir la version des plaignants en relation avec les voies de fait qu'ils dénonçaient, ce sont toutes les déclarations de ces mêmes plaignants qui sont sujettes à caution.</w:t>
      </w:r>
    </w:p>
    <w:p>
      <w:r>
        <w:rPr>
          <w:b/>
        </w:rPr>
        <w:t>E. 3.1</w:t>
      </w:r>
    </w:p>
    <w:p>
      <w:r>
        <w:t>En l'espèce, l'acquittement partiel se fonde sur la confusion induite par l'altercation, ne permettant pas de retenir avec certitude la réalisation des éléments objectifs et de l'élément subjectif de l'art. 126 CP. En effet, la plaignante a déclaré que l'appelant avait voulu emmener de force son fils (PV d'audition n. 1, p. 1). Le plaignant S.________ a déclaré quant à lui que l'appelant avait voulu emmener de force l'enfant, en le tirant dehors, alors que ce dernier était en chaussettes et en T-shirt, que son amie était alors intervenue et qu'il l'avait entendue crier, qu'il était allé voir vers la porte et qu'il avait vu Y.________ saisir son amie au bras (PV audition 3, p. 1 in fine). Toutefois, dans sa plainte du 25 octobre 2010 (P. 4/1), R.________ n'a pas évoqué d'atteintes à son intégrité corporelle. Dans son récit de la scène du 24 octobre 2010 (P. 4/2), elle n'a pas fait état d'avoir été empoignée au bras. Au regard de ces éléments, le flou ou l'incertitude relative à la réalisation d'un geste punissable justifiait d'écarter l'infraction. Au demeurant, l'infraction de voies de fait au sens de l'art. 126 al. 1 CP ne se poursuivant que sur plainte, il est douteux que la poursuite pénale pour cette infraction soit même possible en l'absence d'une plainte pénale ou d'une extension de plainte sur ce chef d'accusation. Au surplus, il n'existe pas de contradiction entre les motifs de cette libération et l'appréciation générale introductive du premier juge selon laquelle il n'y a aucune raison de douter de la crédibilité de la version des plaignants "tout en admettant bien volontiers qu'il est probable que les échanges d'insultes n'aient pas été à sens unique". Ce n'est pas parce que le juge écarte une qualification pénale, notamment pour des motifs juridiques ou en raison de points de fait particuliers, qu'il ne peut pas se déclarer globalement convaincu de la crédibilité des parties plaignantes et symétriquement rejeter les dénégations du prévenu. Ce grief, mal fondé, doit être rejeté.</w:t>
      </w:r>
    </w:p>
    <w:p>
      <w:r>
        <w:rPr>
          <w:b/>
        </w:rPr>
        <w:t>E. 4</w:t>
      </w:r>
    </w:p>
    <w:p>
      <w:r>
        <w:t>Y.________ soutient que la plainte de S.________ n'a été déposée que dans le but de soutenir celle de R.________ et que la version des faits du plaignant ne serait pas fiable au motif qu'il a attendu le 14 décembre 2010 pour déposer plainte alors que la plaignante avait, quant à elle, déposé plainte le 25 octobre 2010 pour des faits qui se sont déroulés le 24 octobre 2010.</w:t>
      </w:r>
    </w:p>
    <w:p>
      <w:r>
        <w:rPr>
          <w:b/>
        </w:rPr>
        <w:t>E. 4.1</w:t>
      </w:r>
    </w:p>
    <w:p>
      <w:r>
        <w:t>En matière d'infractions se poursuivant sur plainte, le lésé dispose d'un délai de trois mois, à partir du jour où il a connu l'auteur de l'infraction, pour déposer plainte (art. 31 CP). Le temps écoulé entre le dies à quo du délai et le moment du dépôt effectif de la plainte ne constitue à l'évidence pas un motif de douter de la version du plaignant. De plus, il est conforme à l'expérience de la vie qu'à la suite d'un premier incident un lésé renonce, dans un premier temps, à déposer plainte en raison de la lourdeur et des inconvénients d'une procédure pénale, mais que, suite à un deuxième incident, il se ravise et se persuade en définitive de la nécessité d'engager des poursuites pénales pour mettre un terme aux agissements répétés de l'auteur. En l'occurrence, la plainte de S.________ ne dénonce pas seulement les faits du 24 octobre 2010, mais également ceux du</w:t>
      </w:r>
    </w:p>
    <w:p>
      <w:r>
        <w:rPr>
          <w:b/>
        </w:rPr>
        <w:t>E. 5</w:t>
      </w:r>
    </w:p>
    <w:p>
      <w:r>
        <w:t>Toujours s'agissant des faits relatifs à l'incident du 24 octobre 2010, Y.________ estime que le premier juge aurait dû, à tout le moins, retenir le bénéfice du doute, ce d'autant plus que les plaignants sont des amis intimes et que d'importantes difficultés de nature civile le divisent régulièrement de son ancienne épouse, R.________, au sujet de leur fils.</w:t>
      </w:r>
    </w:p>
    <w:p>
      <w:r>
        <w:rPr>
          <w:b/>
        </w:rPr>
        <w:t>E. 5.1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 2 du Pacte ONU II (Pacte international relatif aux droits civils et politiques du 16 décembre 1966, RS 0.103.2), 6 § 2 CEDH (Convention européenne des droits de l'homme et des libertés fondamentales du 4 novembre 1950, RS 0.101) et 32 al. 2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2c, TF 6B_831/2009 du 25 mars 2010 c. 2.2.1). Comme règle d'appréciation des preuves, le principe in dubio pro reo est violé si le juge du fond se déclare convaincu de faits défavorables à l'accusé sur lesquels, compte tenu des éléments de preuves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5.2</w:t>
      </w:r>
    </w:p>
    <w:p>
      <w:r>
        <w:t>La divergence des versions des parties ne doit pas forcément conduire, comme l'appelant paraît l'affirmer, à l'impossibilité d'établir les faits constitutifs d'infractions. En l'espèce, le premier juge s'est déclaré convaincu de la crédibilité des plaignants après avoir procédé à une appréciation des pièces du dossier et des parties en audience. En ce qui concerne les faits du 24 octobre 2010, le récit de R.________ est confirmé par celui de son ami S.________. Contrairement à la déposition en confrontation du prévenu qui se limite à l'expression de sa contestation et à des reproches à l'encontre de S.________, les auditions des deux plaignants sont précises, détaillées, empreintes de l'émotion suscitée par les violences verbales subies. L'audition de S.________ est particulièrement convaincante lorsqu'il expose être intervenu pour protéger son amie en dépit de la peur qu'il éprouvait, ainsi que lorsqu'il fait état des propos qu'il a tenus dans un souci d'apaisement pour éviter une escalade. De plus, les plaignants ont fait appel à la police ce jour-là pour se protéger et pour mettre un terme à une situation sans issue. La crédibilité de la plaignante est encore renforcée par son compte rendu chronologique des débordements de l'appelant à son égard depuis juin 2000, récit qui sonne vrai. Le même crédit doit être apporté aux faits du 5 décembre 2010, l'authenticité du contenu de la plainte de S.________ est renforcée par une émotion congruente, soit sa peur, qui ressort clairement de sa déclaration: "Je précise j'ai eu très peur pour ma vie, ainsi que celle de mon amie. Cet individu est, selon moi, dangereux, vu qu'en avril 2009 il avait tenté de m'étrangler" (pas de plainte déposée). Mon amie a déjà déposé une plainte pénale à son encontre pour des menaces de mort qu'elle a subies". Cette peur ressort aussi de son audition du 22 décembre 2010 à l'issue de laquelle il a déclaré: "Je dois dire que j'ai peur qu'il arrive un drame un jour car Y.________ est toujours plus agressif à chaque fois. C'est une personne qui m'apparaît dangereuse, dès lors qu'elle ne semble pas pouvoir se contrôler". Le premier juge a également fait état de la rigidité du caractère de l'appelant "persuadé d'avoir raison seul contre tout le monde et totalement incapable de saisir l'inadéquation de son comportement" (jgt., p. 7).</w:t>
      </w:r>
    </w:p>
    <w:p>
      <w:r>
        <w:rPr>
          <w:b/>
        </w:rPr>
        <w:t>E. 5.3</w:t>
      </w:r>
    </w:p>
    <w:p>
      <w:r>
        <w:t>Au regard de ces éléments convergents, la conviction du premier juge quant à la culpabilité de l'appelant, qui n'est pas empreinte de doute, ne peut qu'être confirmée.</w:t>
      </w:r>
    </w:p>
    <w:p>
      <w:r>
        <w:rPr>
          <w:b/>
        </w:rPr>
        <w:t>E. 6</w:t>
      </w:r>
    </w:p>
    <w:p>
      <w:r>
        <w:t>A titre subsidiaire, Y.________ soutient qu'avoir déclaré à R.________ "je vais te casser la gueule" et à S.________ qu’il "lui ferait la peau" ne serait pas constitutif de menaces au sens de l'art. 180 CP, faute d'être objectivement de nature à éveiller la peur ou l'effroi chez les personnes visées.</w:t>
      </w:r>
    </w:p>
    <w:p>
      <w:r>
        <w:rPr>
          <w:b/>
        </w:rPr>
        <w:t>E. 6.1</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effrayer la victime. Il faut donc se demander si une personne raisonnable, dotée d'une résistance psychologique plus ou moins normale, aurait ressenti la menace comme grave (ATF 99 IV 212 c. 1a).</w:t>
      </w:r>
    </w:p>
    <w:p>
      <w:r>
        <w:rPr>
          <w:b/>
        </w:rPr>
        <w:t>E. 6.2</w:t>
      </w:r>
    </w:p>
    <w:p>
      <w:r>
        <w:t>En l'espèce, par ses propos, l'appelant a exprimé l'intention de frapper violemment son ex-femme au visage, soit lui "casser la gueule", et de s'en prendre à la vie de S.________, en "lui faisant la peau". Proférées dans un contexte de vives altercations répétées et d'énervement rageur associé à des disputes sur fond de contentieux familial haineux, on peut admettre que les paroles de Y.________ étaient objectivement de nature à alarmer ou effrayer les victimes. Par ailleurs, selon les faits retenus, celles-ci ont effectivement été effrayées, ce qui est attesté par leur appel à la police le 24 octobre 2010, le contenu de leurs auditions et la teneur de la plainte de S.________ en décembre 2010. Dans ces conditions, le premier juge a admis à bon droit que les conditions objectives de l'infraction de menaces étaient bien réalisées. Le grief doit donc être rejeté.</w:t>
      </w:r>
    </w:p>
    <w:p>
      <w:r>
        <w:rPr>
          <w:b/>
        </w:rPr>
        <w:t>E. 7</w:t>
      </w:r>
    </w:p>
    <w:p>
      <w:r>
        <w:t>Y.________ fait le reproche au premier juge de ne pas avoir fait application de l'art. 177 al. 2 CP en ce qui concerne les plaintes relatives aux faits du 24 octobre 2010.</w:t>
      </w:r>
    </w:p>
    <w:p>
      <w:r>
        <w:rPr>
          <w:b/>
        </w:rPr>
        <w:t>E. 7.1</w:t>
      </w:r>
    </w:p>
    <w:p>
      <w:r>
        <w:t>Selon le Tribunal fédéral, l'art. 177 al. 2 CP permet au juge d'exempter l'auteur d'une injure de toute peine si l'injurié a directement provoqué l'injure par une conduite répréhensible (TF 6B_640/2008 du 12 février 2009). Il s'agit là encore d'une faculté, non d'une obligation (ATF 109 IV 39 c. 4b in fine). Le juge peut ou non exempter l'auteur de toute peine. Il peut aussi se borner à atténuer la peine. Il dispose à cet égard d'un large pouvoir d'appréciation, que le Tribunal fédéral ne sanctionne qu'en cas d'abus.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une conduite grossière en public peut suffire (ATF 117 IV 270 c. 2c; ATF 83 IV 151). La notion d'immédiateté doit être comprise comme une notion temporelle, en ce sens que l'auteur doit avoir agi sous le coup de l'émotion provoquée par la conduite répréhensible de l'injurié, sans avoir eu le temps de réfléchir (ATF 81 IV 151, cf. aussi Franz Riklin, in Basler Kommentar, Strafrecht II, 2 ème édition, Bâle 2007, n. 17 ad art. 177 CP).</w:t>
      </w:r>
    </w:p>
    <w:p>
      <w:r>
        <w:rPr>
          <w:b/>
        </w:rPr>
        <w:t>E. 7.2</w:t>
      </w:r>
    </w:p>
    <w:p>
      <w:r>
        <w:t>En l'espèce, Y.________ a soutenu que S.________ l'avait traité de "sale arabe" et qu'il l'avait menacé en lui disant "qu'un accident était si vite arrivé". S.________ a toutefois contesté avoir tenu ces propos. Compte tenu de la peur que lui inspirait l'appelant, il est peu vraisemblable qu'il l'ait ainsi provoqué en lui donnant un prétexte pour passer à l'acte. L'appelant n'a pas déposé plainte pénale séance tenante pour ces prétendues offenses alors que la police avait été appelée sur place, ni lorsqu'il s'est lui-même rendu à la police le 5 décembre 2010, ni encore lors de son audition du 14 décembre 2010. Au regard de l'ensemble de ces circonstances, les propos que l'appelant impute au plaignant doivent ainsi être qualifiés de douteux. Enfin, si le premier juge a considéré qu'il était probable que les échanges d'injures n'aient pas été à sens unique, il n'a émis de la sorte qu'une hypothèse, c'est-à-dire une probabilité, sans retenir formellement l'existence d'injures, ni a fortiori les situer dans le temps pour en inférer que les expressions verbales punissables de l'appelant étaient réactives et immédiates. Les faits de la cause n'imputant pas un comportement provocateur spécifique à S.________, l'art. 177 al. 2 CP ne peut donc pas trouver application. Le présent grief est dès lors également infondé.</w:t>
      </w:r>
    </w:p>
    <w:p>
      <w:r>
        <w:rPr>
          <w:b/>
        </w:rPr>
        <w:t>E. 8</w:t>
      </w:r>
    </w:p>
    <w:p>
      <w:r>
        <w:t>En ce qui concerne les faits survenus le 5 décembre 2010, Y.________ soutient que le premier juge l'a condamné sans aucune preuve et sur la base des seules déclarations du plaignant quand bien même il avait réussi à prouver sa propre version des faits par le témoignage de [...], laquelle contredit la version du plaignant.</w:t>
      </w:r>
    </w:p>
    <w:p>
      <w:r>
        <w:rPr>
          <w:b/>
        </w:rPr>
        <w:t>E. 8.1</w:t>
      </w:r>
    </w:p>
    <w:p>
      <w:r>
        <w:t>Entendue comme témoin à l'audience de jugement, et non en cours d'enquête, [...], actuelle épouse de l'appelant, a confirmé la version de celui-ci en ce qui concerne la scène du 5 décembre 2010 et a précisé que son mari n'avait pas voulu laisser l'enfant à la seule garde de S.________ et qu'ils s'étaient ensuite rendus à la police. Le premier juge a implicitement écarté ce témoignage en tant qu'il appuie en bloc la version de Y.________. Durant l'enquête, alors même que l'appelant s'était vu signifier un acte d'accusation en mars 2011, aucune partie n'a fait allusion au fait que l'épouse de l'appelant avait assisté à la scène. Il n'est donc pas exclu qu'elle ait attendu son mari à l'extérieur de l'immeuble et que son témoignage, qui ne comporte aucun détail sur le déroulement de l'altercation, ne soit qu'indirect. Dans ces circonstances, sans même s'arrêter à la part de loyauté matrimoniale qui l'imprègne, le premier juge était fondé à ne pas retenir ce témoignage comme preuve décisive. Cet ultime moyen s'avère donc lui aussi infondé.</w:t>
      </w:r>
    </w:p>
    <w:p>
      <w:r>
        <w:rPr>
          <w:b/>
        </w:rPr>
        <w:t>E. 9</w:t>
      </w:r>
    </w:p>
    <w:p>
      <w:r>
        <w:t>En définitive, l'appel doit être rejeté et les frais d'appel doivent être mis à la charge de l'appelant (art. 428 al. 1 CPP). Les plaignants ont conclu au versement par l'Etat ou l'appelant d'une indemnité de 1'000 francs. Conformément à l'exigence de l'art. 433 al. 2 CPP, la prétention en juste indemnité de la partie plaignante est donc chiffrée. En revanche, cette conclusion en dépens n'a pas fait l'objet d'une justification suffisante, au-delà de ce que le dossier laisse transparaître, comme opérations du conseil. Au vu de la teneur claire de l'art. 433 al. 3 in fine CPP – si la partie ne s'acquitte pas de cette obligation de motiver et de prouver, l'autorité pénale n'entre pas en matière – la non documentation, par exemple par la production d'un relevé d'opérations d'avocat, de cette conclusion prise par des parties assistées d'un mandataire professionnel doit en entraîner l'irrecevabilité, à tout le moins partielle. Il n'y a pas lieu de suivre l'opinion de la doctrine (Mizel Rétornaz, in: Commentaire romand, Code de procédure pénale suisse, op. cit., n. 13 ad art. 433 CPP) selon laquelle le juge devrait au préalable rendre la partie attentive à son droit à une juste indemnité et à son devoir de chiffrer et de documenter celle-ci de manière suffisante, non seulement parce qu'elle se heurte au texte légal, mais aussi parce qu'elle pourrait conduire à donner aux parties l'impression d'un préjugement. Les prétentions n'étant justifiées que par le travail d'avocat consacré à la rédaction de la réponse de deux pages du 23 septembre 2011, ayant nécessité de prendre connaissance du mémoire d'appel, et d'une lettre du 25 juillet 2011 comportant une brève détermination au sens de l'art. 400 al. 3 CPP, une indemnité de 400 fr. doit être allouée, majorée de la TVA, soit 432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