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20 vom 1. März 2011</w:t>
      </w:r>
    </w:p>
    <w:p>
      <w:r>
        <w:t>VD Tribunal cantonal, 2011-03-01, FR</w:t>
      </w:r>
    </w:p>
    <w:p>
      <w:r>
        <w:rPr>
          <w:b/>
        </w:rPr>
        <w:t xml:space="preserve">Quelle: </w:t>
      </w:r>
      <w:r>
        <w:t>https://mcp.opencaselaw.ch/entscheid/vd_findinfo_Jug___2011___20</w:t>
      </w:r>
    </w:p>
    <w:p>
      <w:r>
        <w:t>FR: VD_FINDINFO Jug / 2011 / 20 du 1 mars 2011</w:t>
      </w:r>
    </w:p>
    <w:p>
      <w:r>
        <w:t>IT: VD_FINDINFO Jug / 2011 / 20 del 1 marzo 2011</w:t>
      </w:r>
    </w:p>
    <w:p>
      <w:pPr>
        <w:pStyle w:val="Heading2"/>
      </w:pPr>
      <w:r>
        <w:t>Regeste</w:t>
      </w:r>
    </w:p>
    <w:p>
      <w:r>
        <w:t>DÉTENTION PRÉVENTIVE, RISQUE DE FUITE |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RSV 173.01). En l’espèce, il y a donc lieu d’entrer en matière sur le recours, qui a été interjeté en temps utile devant l’autorité compétente, et satisfait aux conditions de forme posées par l’art. 385 al. 1 CPP.</w:t>
      </w:r>
    </w:p>
    <w:p>
      <w:r>
        <w:rPr>
          <w:b/>
        </w:rPr>
        <w:t>E. 2</w:t>
      </w:r>
    </w:p>
    <w:p>
      <w:r>
        <w:t>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 La décision d’ordonner ou non la détention provisoire est prise par le Tribunal des mesures de contrainte sur proposition écrite et motivée du Ministère public (art. 224 al. 2 et 226 CPP). S’il ordonne la détention provisoire, le Tribunal des mesures de contrainte peut fixer dans sa décision la durée maximale de la détention provisoire (art. 226 al.</w:t>
      </w:r>
    </w:p>
    <w:p>
      <w:r>
        <w:rPr>
          <w:b/>
        </w:rPr>
        <w:t>E. 4</w:t>
      </w:r>
    </w:p>
    <w:p>
      <w:r>
        <w:t>a) Comme on l’a vu plus haut (cf. c. 2b),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op. cit., n. 12 ad art. 221 CPP et les réf. cit. ; Forster, op. cit., n. 5 ad art. 221 CPP) – ne peut être admis que s’il existe une certaine probabilité que le prévenu se soustrairait à la procédure pénale en cours ou à l’exécution de la peine s’il était en liberté ; la gravité de la peine encourue constitue un indice dans ce sens, mais ne saurait être déterminante à elle seule ; il convient au contraire de prendre en considération les circonstances concrètes du cas d’espèce, en particulier l’ensemble de la situation personnelle du prévenu (ATF 125 I 60 c. 3a ; 117 Ia 69 c. 4a et les arrêts cités ;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b) En l’espèce, vu l’ampleur du trafic de produits stupéfiants dans lequel le recourant est soupçonné d’être impliqué, et le degré de responsabilité qui lui est imputé, il encourt une peine privative de liberté de plusieurs années. Il n’a aucune attache avec la Suisse, et est domicilié en Macédoine, avec sa famille. En dépit de ses dénégations, il est donc très probable que, s’il était en liberté, il se soustrairait à la procédure pénale.</w:t>
      </w:r>
    </w:p>
    <w:p>
      <w:r>
        <w:rPr>
          <w:b/>
        </w:rPr>
        <w:t>E. 5</w:t>
      </w:r>
    </w:p>
    <w:p>
      <w:r>
        <w:t>a) Comme on l’a vu plus haut (cf. c. 2b), le maintien en détention provisoire se justifie aussi lorsqu’il y a sérieusement lieu de craindre que le prévenu compromette la recherche de la vérité en influant sur des personnes ou en altérant des moyens de preuve. Selon le Tribunal fédéral, le risque de collusion doit être étayé par des faits concrets et précis. Toutefois, c’est en début d’instruction que ce risque est le plus grand et, à ce stade, les exigences de preuve ne sauraient être trop élevées ; un tel risque existe, par exemple, lorsqu’il y a plusieurs coaccusés (Hug, op. cit., n. 23 ad art. 221 CPP ; ATF 132 I 21, c. 3.2 et les arrêts cités ; Schmoker, op. cit., n. 16 ad art. 221 CPP). b) En l’espèce, même si l’enquête n’en est pas à ses débuts, le recourant n’avait jamais pu être entendu avant le 10 février 2011. Vu le nombre des protagonistes, et les opérations d’enquête qui restent à accomplir, par exemple pour vérifier les motifs, au demeurant vagues, pour lesquels le recourant prétend être venu en Suisse en avril 2010 puis en février 2011, le risque de collusion est indéniable.</w:t>
      </w:r>
    </w:p>
    <w:p>
      <w:r>
        <w:rPr>
          <w:b/>
        </w:rPr>
        <w:t>E. 6</w:t>
      </w:r>
    </w:p>
    <w:p>
      <w:r>
        <w:t>La décision entreprise échappe ainsi à la critique. Certes, le recourant soutient au surplus que le Tribunal des mesures de contrainte aurait dû fixer la durée de la détention à un mois. Il expose qu’à l’échéance du délai d’un mois, le Ministère public devrait « fournir les preuves du maintien en détention du recourant ». Ce faisant, il invoque implicitement l’art. 226 al. 4 let. a CPP qui permet au Tribunal des mesures de contrainte de fixer la durée maximale de la détention provisoire. A défaut de limite fixée à la durée de la détention, la décision a pour effet de valider celle-ci pour trois mois au maximum ; le prévenu garde cependant le droit de demander sa libération en tout temps, soit avant l’échéance du délai de trois mois ou du délai fixé (art. 227 al. 1 CPP ; Logos, in : Kuhn/Jeanneret, op. cit., n. 17 ad art. 226 CPP). En l’occurrence, le recourant n’expose pas précisément en quoi la disposition légale en cause aurait été violée, ni en quoi le fait de ne pas limiter la durée relèverait de l’inopportunité, au sens de l’art. 393 al. 2 let. a et c CPP. A ce stade de la procédure, il n’est pas possible de conclure que l’autorité aurait excédé sur ce point son pouvoir d’appréciation. Au contraire, vu la gravité des actes reprochés, et l’ampleur de l’enquête, qui a des ramifications internationales, il n’est pas possible de conclure que les motifs qui ont justifié la détention provisoire auront disparu dans un mois. Le recourant réclame subsidiairement d’être mis au bénéfice d’une mesure de substitution au sens des art. 237 ss CPP, en particulier d’une saisie de ses documents d’identité ou de l’assignation à résidence (art. 237 al. 2 let. b et c CPP). Il soutient que seule une telle mesure permettrait de garantir le principe de proportionnalité. Cet argument est mal fondé, dans la mesure où la détention – qui dure depuis le 8 février 2011 – reste dans les limites de la proportionnalité, s’agissant de l’infraction grave qu’il est soupçonné d’avoir commise. Au demeurant, le recourant n’explique pas, et on ne voit pas, comment les risques de fuite et de collusion pourraient être évités par une mesure de substitution.</w:t>
      </w:r>
    </w:p>
    <w:p>
      <w:r>
        <w:rPr>
          <w:b/>
        </w:rPr>
        <w:t>E. 7</w:t>
      </w:r>
    </w:p>
    <w:p>
      <w:r>
        <w:t>Il résulte de ce qui précède que le recours, manifestement mal fondé, doit être rejeté sans autres échanges d’écritures (art. 390 al. 2 CPP). Les frais de la procédure de recours, constitués en l’espèce de l’émolument d'arrêt, par 1'100 fr. (art. 20 al. 1 TFJP; RSV 312.03.1) et des frais imputables à la défense d’office (art. 422 al. 1 et 2 let. a CPP), fixés à 360 fr., plus la TVA par 28 fr. 80, soit 388 fr. 80, sont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F.________. IV. Dit que les frais d'arrêt, par 1'100 fr. (mille cent francs), ainsi que l'indemnité du défenseur d'office, par 388 fr. 80 (trois cent huitante-huit francs et huitante centimes), sont mis à la charge de F.________. V. Dit que le remboursement à l'Etat de l'indemnité allouée au chiffre III ci-dessus sera exigible pour autant que la situation économique de F.________ se soit améliorée. VI. Déclare le présent jugement exécutoire. Le président :               Le greffier : Du L'arrêt précède, dont la rédaction a été approuvée à huis clos, est notifié, par l'envoi d'une copie complète, à : - M. Laurent Schuler, avocat (pour F.________), - Ministère public central. et communiqué à : ‑ Ministère public de l'arrondissement de l'Est vaudois, à l'att. de M. le Procureur Jean-Luc Reymond, - Tribunal des mesures de contrainte.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