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192 vom 20. Mai 2011</w:t>
      </w:r>
    </w:p>
    <w:p>
      <w:r>
        <w:t>VD Tribunal cantonal, 2011-05-20, FR</w:t>
      </w:r>
    </w:p>
    <w:p>
      <w:r>
        <w:rPr>
          <w:b/>
        </w:rPr>
        <w:t xml:space="preserve">Quelle: </w:t>
      </w:r>
      <w:r>
        <w:t>https://mcp.opencaselaw.ch/entscheid/vd_findinfo_Jug___2011___192</w:t>
      </w:r>
    </w:p>
    <w:p>
      <w:r>
        <w:t>FR: VD_FINDINFO Jug / 2011 / 192 du 20 mai 2011</w:t>
      </w:r>
    </w:p>
    <w:p>
      <w:r>
        <w:t>IT: VD_FINDINFO Jug / 2011 / 192 del 20 maggio 2011</w:t>
      </w:r>
    </w:p>
    <w:p>
      <w:pPr>
        <w:pStyle w:val="Heading2"/>
      </w:pPr>
      <w:r>
        <w:t>Regeste</w:t>
      </w:r>
    </w:p>
    <w:p>
      <w:r>
        <w:t>MEURTRE PASSIONNEL | 113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W.________, suffisamment motivé au sens de l’art. 399 al.</w:t>
      </w:r>
    </w:p>
    <w:p>
      <w:r>
        <w:rPr>
          <w:b/>
        </w:rPr>
        <w:t>E. 3</w:t>
      </w:r>
    </w:p>
    <w:p>
      <w:r>
        <w:t>W.________ fait valoir que son acte constituerait un meurtre passionnel au sens de l'art. 113 CP (Code pénal suisse du 21 décembre 1937, RS 311.0). A l'appui de cet argument, elle soutient avoir agi sous le coup d'un profond désarroi et d'une émotion violente. Elle considère que cet état était excusable compte tenu de la violence de son amant, dont elle a été la victime durant plus de deux années. Elle considère que les premiers juges ont écarté à tort le meurtre passionnel en retenant qu'elle aurait pu quitter son amant pour échapper à sa violence. Elle estime en effet que son état de dépendance psychologique l'a empêchée de sortir de cette relation, comme cela se voit souvent chez les femmes battues, ce qu'on ne saurait lui reprocher.</w:t>
      </w:r>
    </w:p>
    <w:p>
      <w:r>
        <w:rPr>
          <w:b/>
        </w:rPr>
        <w:t>E. 3.1</w:t>
      </w:r>
    </w:p>
    <w:p>
      <w:r>
        <w:t>Le meurtre passionnel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(ATF 119 IV 202 c. 2a).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précité; ATF 118 IV 233 c. 2a). Le profond désarroi vise en revanche un état d'émotion qui mûrit progressivement pendant une longue période, qui couve pendant longtemps jusqu'à ce que l'auteur soit complètement désespéré et ne voie d'autre issue que l'homicide (ATF 119 IV 202 c. 2a, précité ; ATF 118 IV 233 c. 2a, précité).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(TF 6B_719/2009 du 3 décembre 2009 c. 1.1 et les références citées). Si l'auteur a provoqué par sa faute la réaction dont il souffre ou s'il a participé activement et fautivement à l'enchaînement des actions et réactions, l'émotion violente qui en résulte finalement n'est pas excusable (Corboz, Les infractions en droit suisse, Vol. I, 3 ème éd., Berne 2010, n.12 ad art. 113 CP).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(ATF 107 IV 105, c. 2b/bb).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(TF 6B_158/2009 du 1 er mai 2009 c. 2 et les références citées).</w:t>
      </w:r>
    </w:p>
    <w:p>
      <w:r>
        <w:rPr>
          <w:b/>
        </w:rPr>
        <w:t>E. 3.2</w:t>
      </w:r>
    </w:p>
    <w:p>
      <w:r>
        <w:t>Les premiers juges ont admis qu'au moment d'agir, l'appelante était en proie à une vive émotion, soit la colère. Ils ont considéré que cette vive émotion, si elle était compréhensible au vu du contexte de violence que l'on a déjà décrit, n'était cependant pas excusable, compte tenu du fait que W.________ était familiarisée avec la violence tant verbale que physique de son concubin et qu'il s'agissait du mode de fonctionnement habituel du couple. Les premiers juges ont relevé que même la présence d'un couteau n'était pas nouvelle, A.M.________ ayant déjà utilisé un couteau pour blesser sa compagne de manière sadique quelques jours auparavant. Enfin, les premiers juges ont estimé que l'appelante savait pouvoir trouver refuge à tout instant auprès de ses amis pour fuir la violence de son amant ou qu'elle pouvait appeler ses voisins au secours.</w:t>
      </w:r>
    </w:p>
    <w:p>
      <w:r>
        <w:rPr>
          <w:b/>
        </w:rPr>
        <w:t>E. 3.3</w:t>
      </w:r>
    </w:p>
    <w:p>
      <w:r>
        <w:t>Au vu des faits retenus (cf. supra consid. C), et plus particulièrement des déclarations de l'appelante, cette dernière a agi sous le coup d'une émotion violente, plus précisément d'un violent sentiment de colère. Lors de son audition par la police en date du 20 janvier 2010, elle a notamment indiqué qu'elle était à ce moment-là très fâchée contre la victime, qu'elle avait peur qu'il ne la blesse encore une fois comme il venait de le faire (pv aud. 7). Par ailleurs, on peut également retenir que l'appelante a agi dans un état de profond désarroi. En effet, elle a été victime de violence durant plus de deux ans, son compagnon se comportant souvent de manière sadique envers elle. De plus, selon les experts, le profil psychologique de l'appelante la mettait dans une situation telle qu'elle n'était pas en mesure de mettre un terme à cette relation amoureuse. Ainsi, la durée de la violence dont elle a fait l'objet, ajouté au fait que le soir en question, le couple s'est discuté violemment durant deux heures, permettent de conclure que l'appelante a agi en état de profond désarroi, son geste étant – selon elle – le seul moyen de mettre un terme à cette relation. Le comportement qu'elle a adopté après le meurtre de son amant n'est pas déterminant pour qualifier son acte, mais doit être examiné au moment de la fixation de la peine, comme élément à charge ou à décharge. Enfin, conformément à l'appréciation des experts, l'acte commis par l'appelante n'est pas explicable en référence à une pathologie psychiatrique.</w:t>
      </w:r>
    </w:p>
    <w:p>
      <w:r>
        <w:rPr>
          <w:b/>
        </w:rPr>
        <w:t>E. 3.4</w:t>
      </w:r>
    </w:p>
    <w:p>
      <w:r>
        <w:t>La colère éprouvée par l'appelante a été suscitée par un comportement gravement répréhensible de la victime à son égard, soit des circonstances extérieures partiellement indépendantes de sa volonté que tout autre personne raisonnable eût pu considérer comme dramatiques. En effet, la victime l'a non seulement frappée et insultée à plusieurs reprises dans le courant de la soirée, mais il lui a ensuite saisi la gorge, cogné la tête en la tenant par les cheveux, avant de sortir un couteau qu'il a mis sous sa gorge et avec lequel il lui a piqué les seins. Certes, W.________ était habituée aux scènes de violences et aurait pu, tout au long de la soirée, quitter l'appartement pour aller se réfugier chez une connaissance. Reste qu'au vu du déroulement des événements, on ne saurait lui reprocher de s'être retrouvée dans cette situation en raison de sa seule ou principale faute. En effet, il ne résulte pas des faits retenus, qu'elle aurait pris l'initiative de porter des coups à son compagnon, ni qu'elle aurait pris l'initiative de la bagarre. Au contraire, la responsabilité principale du conflit et des violences doit être attribuée à la victime.</w:t>
      </w:r>
    </w:p>
    <w:p>
      <w:r>
        <w:rPr>
          <w:b/>
        </w:rPr>
        <w:t>E. 3.5</w:t>
      </w:r>
    </w:p>
    <w:p>
      <w:r>
        <w:t>Enfin, l'aspect subjectif de l'infraction est également réalisé. En effet, l'appelante a frappé la victime d'un coup de couteau en plein cœur. Elle ne pouvait à l'évidence ignorer le risque mortel de son geste.</w:t>
      </w:r>
    </w:p>
    <w:p>
      <w:r>
        <w:rPr>
          <w:b/>
        </w:rPr>
        <w:t>E. 3.6</w:t>
      </w:r>
    </w:p>
    <w:p>
      <w:r>
        <w:t>En conclusion, il convient d'admettre que toutes les conditions objectives et subjectives de l'art. 113 CP sont réalisées. L'appel doit dès lors être admis sur ce point.</w:t>
      </w:r>
    </w:p>
    <w:p>
      <w:r>
        <w:rPr>
          <w:b/>
        </w:rPr>
        <w:t>E. 4</w:t>
      </w:r>
    </w:p>
    <w:p>
      <w:r>
        <w:t>L'appelante conclut à la fixation d'une peine privative de liberté n'excédant pas quatre ans.</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comme par exemple l'émotion violente excusable ou le profond désarroi (art. 48 let. c CP). Ces circonstances, qui relèvent de l'état de fait, diminuent la faute et impliquent une peine plus clémente. D'autres circonstances peuvent aussi augmenter la faute et compenser la diminution de la capacité cognitive ou volitive. On peut citer par exemple des motifs blâmables (TF 6B_238/2009 du 8 mars 2010 c. 5.6). L'art. 47 CP confère un large pouvoir d'appréciation au juge, qui n'est pas lié par les réquisitions du Ministère public et qui doit déterminer l'effet de la diminution de la responsabilité sur la faute (subjective) au vu de l'ensemble des circonstances. Dans un premier temps, il doit décider sur la base des constatations de faits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(TF 6B_238/2009, cit. c. 5.7). Le juge doit exposer quels éléments il a pris en compte pour fixer la peine, de manière à ce que l'on puisse vérifier que tous les aspects pertinents ont été pris en considération et comment ils ont été appréciés, que ce soit dans un sens atténuant ou aggravant.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4.2</w:t>
      </w:r>
    </w:p>
    <w:p>
      <w:r>
        <w:t>Le meurtre passionnel est puni d'une peine privative de liberté d'un à dix ans. En l'espèce, l'appelante a porté atteinte au bien le plus important de notre ordre juridique, à savoir la vie, et sa culpabilité est importante. Aux débats de première instance, elle a laissé une impression mitigée entre l'image de la victime d'un tyran domestique et celle d'une femme manipulatrice, maquillant son geste pour en faire un accident et arrangeant ses versions au gré de l'instruction. Lors de l'audience d'appel, elle est apparue encore sous l'emprise des sentiments amoureux qu'elle entretenait avec sa victime. A charge, il convient de retenir le comportement blâmable de l'appelante suite à l'acte. En effet, elle n'a pas appelé les secours, mais a reconduit sa victime dans le logement duquel il était sorti, alors qu'il était mortellement blessé. Entre le geste fatal et l'appel à la police à 04h36, elle a pris le soin de prendre l'argent de son compagnon resté à la cuisine. De même, elle a pris la peine de bouger le corps et, dans une tentative de maquiller son geste en accident, a encore placé le couteau dans la main droite de son amant. A décharge, il faut retenir que l'appelante a agi dans le cadre d'une énième bagarre au sein du couple, dont c'était le mode de fonctionnement et au sein duquel la violence tendait à augmenter au fil du temps, dès lors que la victime avait sorti un couteau, le 12 décembre 2009, puis le soir du coup fatal. Il convient également de retenir une légère diminution de sa responsabilité, dans la mesure où au moment d'agir, l'appelante était sous l'effet désinhibant de l'alcool (taux d'au moins 1.35‰). Sur le vu de l'ensemble des éléments à prendre en considération, la peine doit être fixée à cinq ans. Même si l'on retient le meurtre passionnel au sens de l'art. 113 CP, la peine n'a pas à être très inférieure aux six ans infligés par les premiers juges, dès lors que ceux-ci ont été assez cléments et ont également tenu compte, dans un sens atténuant, du contexte général de la relation entretenue entre l'appelante et sa victime.</w:t>
      </w:r>
    </w:p>
    <w:p>
      <w:r>
        <w:rPr>
          <w:b/>
        </w:rPr>
        <w:t>E. 5</w:t>
      </w:r>
    </w:p>
    <w:p>
      <w:r>
        <w:t>En définitive, W.________ doit être condamnée pour meurtre passionnel et contravention à la LStup, à une peine privative de liberté de cinq ans, sous déduction de la détention provisoire et pour motifs de sûretés. Le jugement est confirmé pour le surplus.</w:t>
      </w:r>
    </w:p>
    <w:p>
      <w:r>
        <w:rPr>
          <w:b/>
        </w:rPr>
        <w:t>E. 6</w:t>
      </w:r>
    </w:p>
    <w:p>
      <w:r>
        <w:t>Vu l'issue de la cause, les frais de procédure d'appel, arrêtés en application de l'art. 21 TFJP et comprenant l’indemnité allouée au défenseur d'office de l'appelante par 2'335 fr. (deux mille trois cent trente-cinq francs), TVA comprise (cf. art. 135 al. 2 et 422 al. 2 let. a CPP ; art. 2 al. 2 ch. 1 TFJP),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