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190 vom 13. April 2011</w:t>
      </w:r>
    </w:p>
    <w:p>
      <w:r>
        <w:t>VD Tribunal cantonal, 2011-04-13, FR</w:t>
      </w:r>
    </w:p>
    <w:p>
      <w:r>
        <w:rPr>
          <w:b/>
        </w:rPr>
        <w:t xml:space="preserve">Quelle: </w:t>
      </w:r>
      <w:r>
        <w:t>https://mcp.opencaselaw.ch/entscheid/vd_findinfo_Jug___2011___190</w:t>
      </w:r>
    </w:p>
    <w:p>
      <w:r>
        <w:t>FR: VD_FINDINFO Jug / 2011 / 190 du 13 avril 2011</w:t>
      </w:r>
    </w:p>
    <w:p>
      <w:r>
        <w:t>IT: VD_FINDINFO Jug / 2011 / 190 del 13 aprile 2011</w:t>
      </w:r>
    </w:p>
    <w:p>
      <w:pPr>
        <w:pStyle w:val="Heading2"/>
      </w:pPr>
      <w:r>
        <w:t>Regeste</w:t>
      </w:r>
    </w:p>
    <w:p>
      <w:r>
        <w:t>RÉVOCATION DU SURSIS, SURSIS À L'EXÉCUTION DE LA PEINE, PRONOSTIC | 42 al. 1 CP, 46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Invoquant une violation des art. 42 et 46 CP, l’appelant conteste le refus du sursis à la peine prononcée ainsi que la révocation des sursis précédemment accordés.</w:t>
      </w:r>
    </w:p>
    <w:p>
      <w:r>
        <w:rPr>
          <w:b/>
        </w:rPr>
        <w:t>E. 3.1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 ATF 134 IV 1 c. 4.2.2 pp.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 4.2.1 p. 5). Pour p 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3.2</w:t>
      </w:r>
    </w:p>
    <w:p>
      <w:r>
        <w:t>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 ATF 134 IV 140 c.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donc être pris en compte ( ATF 134 IV 140 c. 4.5 p. 144). Ainsi,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(ATF 6B_855/2010 du 7 avril 2011 c. 2.2).</w:t>
      </w:r>
    </w:p>
    <w:p>
      <w:r>
        <w:rPr>
          <w:b/>
        </w:rPr>
        <w:t>E. 3.3</w:t>
      </w:r>
    </w:p>
    <w:p>
      <w:r>
        <w:t>En l’espèce, l’appelant doit répondre d’infractions à la LEtr et à la LStup. On relèvera tout d'abord qu'il a déjà été condamné à trois reprises pour le même genre d’infractions, à savoir le 1 er octobre 2008 par le Strafbefehlsrichter Basel-Stadt, pour délit contre la LStup, à une peine pécuniaire de 30 jours-amendes à 30 fr., avec sursis pendant deux ans, le 16 octobre 2008 par la Pretura penale del Cantone Ticino Bellinzona, pour délit contre la LStup, à une peine pécuniaire de 14 jours-amendes à 30 fr. avec sursis pendant deux ans et à une amende de 100 fr. et, enfin, le 16 novembre 2009 par le Juge d’instruction de Lausanne, pour séjour illégal, à une peine pécuniaire de 30 jours-amendes à 10 fr. avec sursis pendant 3 ans et à une amende de 150 francs. Or, il n'est pas contestable que l'existence d'antécédents pénaux est un point non seulement pertinent mais incontournable du pronostic (TF 6B_510/2010 du 4 octobre 2010 c. 1.2.2). En l'occurrence, ces précédentes condamnations n’ont manifestement eu aucun effet dissuasif sur l’intéressé, qui persiste à maintenir, depuis son arrivée en Suisse en 2008, le même comportement répréhensible, tant en matière de stupéfiants que de séjour illégal. Plus particulièrement, le fait de commettre des infractions semblables dans les délais d'épreuve dont il a bénéficié démontre que la seule menace d'une peine ne suffit pas à le détourner de la récidive. Par ailleurs, l’appelant n’a pas donné l’impression de réaliser la gravité de ses actes, s’agissant d’infractions dans le domaine des stupéfiants dont les conséquences ne sauraient être sous-estimées, notamment au vu des ravages que la drogue provoque au sein de la société. En effet, contrairement à ce qu'il a fait valoir tant dans son appel qu'en plaidoirie, il a persisté, en première instance, à nier la provenance illicite de l’argent qui lui avait été confisqué et à affirmer qu'il ignorait que la consommation de cocaïne était illégale (PV aud. 2 et 3), ce qui tend à démontrer un défaut de prise de conscience. De même, l’appelant ne saurait prétendre ne pas connaître le mécanisme du sursis pour le seul motif qu'il a reçu une éducation modeste et ne comprend pas le français. En effet, il a une formation professionnelle et en est tout de même à sa quatrième condamnation. Enfin, il convient de souligner le mode de vie que mène l'intéressé, lequel est entièrement livré à lui-même et n'a aucune occupation, le foyer dans lequel il réside ne proposant au surplus aucune activité (jugt, p. 1, par. 1). Il résulte de ce qui précède, quant au comportement futur de L.________, un pronostic défavorable. Le fait qu'il ait subi, pour la première fois, une détention préventive du 17 avril au 5 juillet 2010, soit pendant 80 jours, qu'il n'ait plus fait l'objet, depuis sa relaxe en date du 15 juillet 2010, d'une quelconque enquête pénale, ni occupé défavorablement les services de police, ou encore le fait qu'il se soit présenté à l'audience de jugement alors même qu'il avait conscience d'encourir une peine ferme ne constituent pas des comportements particulièrement méritoires et sont en tout cas insuffisants pour renverser le pronostic posé. Dans ces conditions, l'opinion du tribunal selon laquelle il existe un risque de récidive est parfaitement fondée. La très forte probabilité de voir l'appelant commettre de nouvelles infractions permet de motiver la formulation d'un pronostic défavorable quant à son comportement futur. Il s'ensuit que le prononcé d’une peine privative de liberté ferme de 6 mois doit être confirmé.</w:t>
      </w:r>
    </w:p>
    <w:p>
      <w:r>
        <w:rPr>
          <w:b/>
        </w:rPr>
        <w:t>E. 3.4</w:t>
      </w:r>
    </w:p>
    <w:p>
      <w:r>
        <w:t>S’agissant de la révocation des sursis antérieurs, il reste à examiner si le fait que L.________ devra exécuter une peine privative de liberté ferme peut apparaître comme suffisant pour le détourner de la récidive. Dans le cas particulier, on peut admettre que l'exécution de la peine privative de liberté de six mois aura un effet d'avertissement et de choc suffisant pour dissuader le prévenu de commettre de nouvelles infractions. En effet, d'une part, la peine à exécuter est d'une durée non négligeable. D'autre part, l'intéressé n'a encore subi aucune incarcération, si ce n’est la détention préventive précitée. En conséquence, il n'y a pas lieu de révoquer les sursis accordés précédemment à l’appelant.</w:t>
      </w:r>
    </w:p>
    <w:p>
      <w:r>
        <w:rPr>
          <w:b/>
        </w:rPr>
        <w:t>E. 4</w:t>
      </w:r>
    </w:p>
    <w:p>
      <w:r>
        <w:t>En conclusion, l’appel est partiellement admis en ce sens que les précédents sursis accordés à L.________ les 1 er et 16 octobre 2008 ainsi que le 16 novembre 2009 ne sont pas révoqués. Il est rejeté pour le surplus.</w:t>
      </w:r>
    </w:p>
    <w:p>
      <w:r>
        <w:rPr>
          <w:b/>
        </w:rPr>
        <w:t>E. 5</w:t>
      </w:r>
    </w:p>
    <w:p>
      <w:r>
        <w:t>Vu l’issue de la cause, les frais de la procédure d'appel sont mis pour moitié à la charge de l’appelant, le solde étant laissé à la charge de l’Etat (art. 428 al. 1, 1 ère phrase, CPP). Vu l'ampleur et la complexité de la cause, l'indemnité allouée au défenseur d’office de L.________ doit être arrêtée à 1'397 fr. 50, pour la rédaction de la déclaration d’appel et pour la comparution à l’audience, TVA et débours inclus (cf. art. 135 al. 1 et 2 et 422 al. 2 let. a CPP et 2 al. 2 ch. 1 TFJP). L’appelant ne sera tenu de rembourser à l’Etat le montant de l’indemnité en faveur de son défenseur d’office prévue ci-dessus que lorsque sa situation financière le permettra (art. 135 al. 4 let. a CPP). La Cour d’appel pénale vu les articles 40, 42 al. 1, 46, 47, 49 al. 1, 50, 51, 69, 70, 106 CP; 19 ch. 1 al. 3 à 6 et 19a ch. 1 LStup; 115 al. 1 let. b LEtr; 398 ss CPP, prononce : I. L'appel est partiellement admis. II. Le jugement rendu le 13 avril 2011 par le Tribunal de police de l'arrondissement de Lausanne est modifié comme il suit au chiffre III de son dispositif, le dispositif du jugement étant désormais le suivant : I. Constate que L.________ s'est rendu coupable d'infraction et de contravention à la LStup et d'infraction à la LEtr. II. Condamne L.________ à une peine privative de liberté de 6 (six) mois, sous déduction de 80 (huitante) jours de détention avant jugement. III. Renonce à révoquer les sursis accordés à L.________ les 1 er octobre 2008 par le Strafbefehlsrichter Basel-Stadt, 16 octobre 2008 par la Pretura penale del Cantone Ticino Bellinzona et 16 novembre 2009 par le Juge d'instruction de Lausanne. IV. Condamne L.________ à une amende de 150 fr. (cent cinquante francs) et dit qu'à défaut de paiement de l'amende, la peine privative de liberté de substitution sera de 1 (un) jour. V. Ordonne la confiscation et la destruction de la drogue séquestrée sous fiche n° 3113. VI. Ordonne la confiscation et la dévolution à l'Etat de la somme de 1'650 fr. (mille six cent cinquante francs) séquestrés sous fiche n° 3254. VII. Dit que les 150 fr. (cent cinquante francs) saisis le 31 juillet 2010 en mains de L.________ serviront au paiement de l'amende prononcée au chiffre IV ce-dessus. VIII. Met les frais de justice par 14'826 fr. 45 à la charge de L.________ et dit que ce montant comprend les indemnités de ses défenseurs d'office par 660 fr. pour Me Krevvata et par 2'100 fr. pour Me Cheseaux, dites indemnités ne devant toutefois être remboursées à l'Etat que pour autant que la situation financière du condamné le permette. III. Les frais de la procédure d'appel, par 2'897 fr. 50 (deux mille huit cent nonante-sept francs et cinquante centimes), y compris l'indemnité allouée à son défenseur d'office par 1'397 fr. 50 (mille trois cent nonante-sept francs et cinquante centimes), sont mis pour moitié à la charge de l'appelant, soit 1'448 fr. 75 (mille quatre cent quarante-huit francs et septante-cinq centimes), le solde étant laissé à la charge de l'Etat. IV. L.________ ne sera tenu de rembourser à l'Etat le montant de l'indemnité en faveur de son conseil d'office prévue au ch. III ci-dessus que lorsque sa situation financière le permettra. La présidente :              Le greffier : Du 18 août 2011 Le dispositif du jugement qui précède est communiqué à l'appelant et aux autres intéressés. Le greffier : Du Le jugement qui précède, dont la rédaction a été approuvée à huis clos, est notifié, par l'envoi d'une copie complète, à : - Me Marc Cheseaux, avocat (pour L.________), - Ministère public central, et communiqué à : - Service de la population, secteur étrangers (25.08.1985), - Ministère public de la Confédération, - Office fédéral des migrations,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