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Jug / 2011 / 165 vom 13. April 2011</w:t>
      </w:r>
    </w:p>
    <w:p>
      <w:r>
        <w:t>VD Tribunal cantonal, 2011-04-13, FR</w:t>
      </w:r>
    </w:p>
    <w:p>
      <w:r>
        <w:rPr>
          <w:b/>
        </w:rPr>
        <w:t xml:space="preserve">Quelle: </w:t>
      </w:r>
      <w:r>
        <w:t>https://mcp.opencaselaw.ch/entscheid/vd_findinfo_Jug___2011___165</w:t>
      </w:r>
    </w:p>
    <w:p>
      <w:r>
        <w:t>FR: VD_FINDINFO Jug / 2011 / 165 du 13 avril 2011</w:t>
      </w:r>
    </w:p>
    <w:p>
      <w:r>
        <w:t>IT: VD_FINDINFO Jug / 2011 / 165 del 13 aprile 2011</w:t>
      </w:r>
    </w:p>
    <w:p>
      <w:pPr>
        <w:pStyle w:val="Heading2"/>
      </w:pPr>
      <w:r>
        <w:t>Regeste</w:t>
      </w:r>
    </w:p>
    <w:p>
      <w:r>
        <w:t>RÉVOCATION DU SURSIS, FIXATION DE LA PEINE, RESPONSABILITÉ{DROIT PÉNAL} | 46 al. 1 CP, 47 CP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La détention subie depuis le jugement de première instance doit être déduite de la peine et l’appelant doit être maintenu en détention à titre de sûreté au vu du risque de récidive qu'il présente.</w:t>
      </w:r>
    </w:p>
    <w:p>
      <w:r>
        <w:rPr>
          <w:b/>
        </w:rPr>
        <w:t>E. 5</w:t>
      </w:r>
    </w:p>
    <w:p>
      <w:r>
        <w:t>L'appelant succombant entièrement sur ses conclusions, les frais de la procédure d'appel selon l'art. 424 CPP doivent être mis à sa charge (art. 428 al. 1, 1 ère phrase, CPP). Ces frais comprennent l'indemnité de défenseur d’office pour la procédure d’appel, laquelle doit être arrêtée à 2'397 fr. 60, TVA comprise, au vu de l'ampleur des opérations effectuées. L'appelant ne sera tenu de rembourser à l’Etat le montant de l’indemnité en faveur de son conseil d’office prévue ci-dessus que lorsque sa situation financière le permettra (art. 135 al. 4 let. a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