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159 vom 4. Mai 2011</w:t>
      </w:r>
    </w:p>
    <w:p>
      <w:r>
        <w:t>VD Tribunal cantonal, 2011-05-04, FR</w:t>
      </w:r>
    </w:p>
    <w:p>
      <w:r>
        <w:rPr>
          <w:b/>
        </w:rPr>
        <w:t xml:space="preserve">Quelle: </w:t>
      </w:r>
      <w:r>
        <w:t>https://mcp.opencaselaw.ch/entscheid/vd_findinfo_Jug___2011___159</w:t>
      </w:r>
    </w:p>
    <w:p>
      <w:r>
        <w:t>FR: VD_FINDINFO Jug / 2011 / 159 du 4 mai 2011</w:t>
      </w:r>
    </w:p>
    <w:p>
      <w:r>
        <w:t>IT: VD_FINDINFO Jug / 2011 / 159 del 4 maggio 2011</w:t>
      </w:r>
    </w:p>
    <w:p>
      <w:pPr>
        <w:pStyle w:val="Heading2"/>
      </w:pPr>
      <w:r>
        <w:t>Regeste</w:t>
      </w:r>
    </w:p>
    <w:p>
      <w:r>
        <w:t>LOI FÉDÉRALE SUR LES STUPÉFIANTS ET LES SUBSTANCES PSYCHOTROPES, FIXATION DE LA PEINE, PEINE, RÉVOCATION DU SURSIS, PEINE PRIVATIVE DE LIBERTÉ | 42 al. 1 CP, 46 al. 2 CP, 47 CP, 19 LStup</w:t>
      </w:r>
    </w:p>
    <w:p>
      <w:pPr>
        <w:pStyle w:val="Heading2"/>
      </w:pPr>
      <w:r>
        <w:t>Erwägungen</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 crédibilité d'un témoin s'apprécie en fonction de l'ensemble des circonstances et non en fonction du caractère douteux ou avéré d'un seul fait extrait de sa déposition. En l'occurrence, I.________ a été identifié, comme les autres toxicomanes ayant mis l’appelant en cause, par l’exploitation de la mémoire du téléphone dont celui-ci était porteur lors de son interpellation et dont il est ressorti que tous deux avaient été 29 fois en communication pendant la période du 6 juin au 18 septembre 2010 (cf. rapport de police du 25 novembre 2010, p. 5). L’appelant a admis qu’il connaissait ce toxicomane dans la mesure où il lui avait téléphoné de nombreuses fois (cf. rapport de police, pv du 4 novembre 2010 et pv d'audition du Juge d'instruction du 30 novembre 2010, p. 1). En plus des motifs de conviction exposés par les premiers juges, il ressort de l’audition de I.________ (cf. rapport de police, pv du 8 octobre 2010), alors appelé à fournir des renseignements en vertu de l'art. 178 CPP, qu’il a identifié l’appelant sur une planche photographique comportant les portraits de seize Africains et qu’il a précisé avoir fait sa connaissance dans le bar le " [...] " à Lausanne. Or, il se trouve que l’appelant a admis fréquenter ce bar et y avoir connu plusieurs clients toxicomanes (cf. rapport de police, pv du 4 novembre 2010, p. 2 et 4 et pv du 19 novembre 2010, p. 1). De plus, I.________ a non seulement donné l’un des surnoms de l’appelant, soit le "petit", mais il a aussi indiqué que celui-ci lui avait expliqué son absence de deux ou trois mois à fin 2009 - début 2010 par un séjour en Italie. Or, l’appelant admet avoir été refoulé en Italie à cette époque, à l’issue d’une détention du 3 novembre 2009 au 15 janvier 2010 (cf. rapport de police du 25 novembre 2010, p. 12), avant de revenir en Suisse (cf. rapport d'expertise psychiatrique du 1 er décembre 2010, p. 5), ce qui est également confirmé par son amie qui a également évoqué ce séjour italien (jgt., p. 4).</w:t>
      </w:r>
    </w:p>
    <w:p>
      <w:r>
        <w:rPr>
          <w:b/>
        </w:rPr>
        <w:t>E. 2.1</w:t>
      </w:r>
    </w:p>
    <w:p>
      <w:r>
        <w:t>1. L'appelant allègue que le toxicomane I.________ qui le met en cause n'est pas crédible parce qu'il a déclaré avoir moins consommé en 2010 qu'en 2009, alors que ses achats effectués auprès du prévenu et dont il fait état sont quantitativement plus importants en 2010 (24 g), qu'en 2009 (16 g) et qu'il n'existe aucun élément accréditant l'idée qu'il se serait fourni auprès d'autres dealers. B.________ fait également valoir qu'il a toujours nié avoir été en relation avec ce toxicomane et, comme ce n'est qu'après avoir discuté avec la police qu'il a néanmoins reconnu, le 4 novembre 2010, lui avoir vendu trois fois 0,7 g pour un total de 210 fr., il n'y aurait dès lors pas lieu de tenir compte de ces aveux et qu'il faut, de ce fait, considérer qu'il ne lui a rien vendu. A l'appui de leur conviction, les premiers juges ont mentionné que I.________ connaissait le surnom utilisé par le prévenu dans son trafic, qu'il savait que l'appelant avait subi une période de détention avant jugement et qu'il l'avait reconnu sur photo.</w:t>
      </w:r>
    </w:p>
    <w:p>
      <w:r>
        <w:rPr>
          <w:b/>
        </w:rPr>
        <w:t>E. 2.2</w:t>
      </w:r>
    </w:p>
    <w:p>
      <w:r>
        <w:t>S'agissant du toxicomane P.________, l’acte d’accusation fait grief au prévenu de lui avoir notamment vendu en 2010 2,5 g de cocaïne pour une somme totale de 600 fr., montant concernant également des ventes aux frères A.Z.________ et B.Z.________. Dans le procès-verbal de son audition du 4 novembre 2010 avec la police, le prévenu avait en effet identifié ce consommateur par photo et avait avoué lui avoir vendu trois boulettes à un prix d’ami. Le jugement (p. 10) retient que la mise en cause du prévenu par P.________ sera retenue telle que présentée dans l’acte d’accusation dès lors que le prévenu ne la conteste pas, l’ayant spécifiquement admise aux débats. Sa déclaration signée à l’audience (jgt., p. 3) énonce notamment : "(…) En revanche, s’agissant du cas P.________, j’admets cette mise en cause" . C'est donc non sans témérité que l’appelant revient sur ses aveux, sans donner le moindre motif à ce revirement, se bornant à dire qu’aucun procès-verbal de cet acheteur ne figure au dossier. En réalité, ses aveux formulés durant l’enquête et réitérés aux débats, qui comportaient la précision que le client était un ami qui avait bénéficié d’un prix en conséquence, sont convaincants et ont été retenus à juste titre.</w:t>
      </w:r>
    </w:p>
    <w:p>
      <w:r>
        <w:rPr>
          <w:b/>
        </w:rPr>
        <w:t>E. 2.3</w:t>
      </w:r>
    </w:p>
    <w:p>
      <w:r>
        <w:t>L'appelant fait valoir que son trafic a porté sur une quantité de cocaïne pure inférieure à la limite jurisprudentielle de la mise en danger de 18 g. Il passe en revue chaque cas retenu à sa charge.</w:t>
      </w:r>
    </w:p>
    <w:p>
      <w:r>
        <w:rPr>
          <w:b/>
        </w:rPr>
        <w:t>E. 2.3.1</w:t>
      </w:r>
    </w:p>
    <w:p>
      <w:r>
        <w:t>En ce qui concerne, le toxicomane G.________, l'appelant revendique à tort une réduction de 1,1 g en partant de la prémisse fausse que le tribunal a retenu une quantité vendue de 8 g. En effet, le volume des ventes a été quantifié à 7,4 g, quantité qui correspond en tous points aux indications données par cet acheteur dans son procès-verbal d'audition du 4 octobre 2010, soit huit achats de 0,8 g et deux achats de 0,5 g. S'agissant des toxicomanes L.________ et J.________, l'appelant fait valoir qu'il leur a vendu des quantités plus élevées que celles retenues par les premiers juges, soit respectivement 11,2 g au premier et 3,6 g au second. En l'absence d'appel ou d'appel joint du Ministère public, il n'y a toutefois pas lieu de revoir ces quantités. La discussion des cas des toxicomanes I.________ et P.________ évoquée ci-dessus (cf. c. 2.2.1. et 2.2.2.) confirme que l'appelant a bien vendu 40 g de cocaïne au premier et 2,5 g au second, tel que cela a été retenu par les premiers juges. Cela étant, le volume total brut de cocaïne vendue par le prévenu est de 97,2 g et non de 88,2 g comme indiqué par erreur par les premiers juges (jgt., p. 10), quantité à laquelle s'ajoute la saisie de 7,8 g.</w:t>
      </w:r>
    </w:p>
    <w:p>
      <w:r>
        <w:rPr>
          <w:b/>
        </w:rPr>
        <w:t>E. 2.3.2</w:t>
      </w:r>
    </w:p>
    <w:p>
      <w:r>
        <w:t>S'agissant du taux de pureté, les premiers juges ont appliqué à la saisie un taux moyen de 24,2 %, le taux des analyses oscillant entre 17,3 et 31,1 %. L'appelant soutient quant à lui qu'il faut appliquer le taux le plus bas de 17,3 %. Il s'avère que des quatre analyses effectuées donnent des taux plus élevés que le taux le plus bas de 17,3 % (cf. avis d'expert du 8 octobre 2010). La méthode appliquée par les premiers juges est donc conforme à la jurisprudence qui admet que l’autorité judiciaire se fonde sur une moyenne, notamment lorsque les stupéfiants commercialisés n’ont pu être saisis (Corboz, Les infractions en droit suisse, 3 ème éd., tome II, Berne 2010, p. 918 n° 86). Il n’est pas arbitraire de faire de même en présence de stupéfiants analysés présentant des taux différents. Toutefois, au lieu d'opérer une moyenne entre les deux valeurs extrêmes comme l’a fait le tribunal, on ajoutera les quatre valeurs constituant les résultats d’analyse avant d’en faire la moyenne en divisant ce total par quatre. On obtient ainsi 21,72 % et ce taux appliqué aux 7,8 g saisis donne 1,69 g de cocaïne pure. Pour le surplus, s’agissant des stupéfiants qui n’ont pu être saisis, il n’y a pas lieu, comme le soutient l’appelant d’appliquer aux ventes de 2009 et 2010, le taux le plus bas résultant des échantillons saisis lors de l’interpellation dans la mesure où rien n’établit que les stupéfiants ainsi écoulés provenaient du même stock coupé dans la même proportion, mais il se justifie d’appliquer le taux pondéré tiré des statistiques de l’Institut universitaire romande de médecine légale, soit 26,2 % selon le jugement, chiffre que l’appelant ne discute pas. Eu égard à une quantité brute de 97,2 g, on aboutit ainsi à 25,46 g de cocaïne pure qui ajoutés aux 1,69 g précités donnent un total de 27,15 g. La limite de 18 g de cocaïne pure du cas grave est donc largement franchie. 3. L'appelant s'en prend ensuite à la quotité de la peine infligée. Il fait valoir que les premiers juges n'ont pas tenu compte des circonstances de sa vie particulièrement dramatiques, soit de l'assassinat de son père, du suicide de sa mère ou encore de sa séquestration pendant deux ans par des rebelles, éléments devant conduire à réduire sa peine.</w:t>
      </w:r>
    </w:p>
    <w:p>
      <w:r>
        <w:rPr>
          <w:b/>
        </w:rPr>
        <w:t>E. 3</w:t>
      </w:r>
    </w:p>
    <w:p>
      <w:r>
        <w:t>En ce qui concerne les quantités, les propos de I.________ ne sont entachés d’aucune invraisemblance, son affirmation d’avoir moins consommé en 2010 qu’en 2009 n’étant en rien contredite par des achats totalisant 16 g entre septembre et début novembre 2009, soit une période légèrement supérieure à deux mois et une consommation moyenne de l’ordre de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w:t>
      </w:r>
    </w:p>
    <w:p>
      <w:r>
        <w:rPr>
          <w:b/>
        </w:rPr>
        <w:t>E. 3.2</w:t>
      </w:r>
    </w:p>
    <w:p>
      <w:r>
        <w:t>Dans le domaine spécifique des infractions à la LStup, le Tribunal fédéral a, en outre, dégagé les principes suivants (cf. TF 6B_969/2010 du 31 mars 2011 c. 3.1 ; TF 6B_922/2010 du 25 janvier 2011 c. 3.3)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L'étendue géographique du trafic entre également en considération. Un trafic purement local sera en règle générale considéré comme moins grave qu’un trafic avec des ramifications internationales. En effet, l’importation en Suisse de drogues a des répercussions plus graves que le seul transport à l’intérieur des frontières. Le nombre d'opérations constitue également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w:t>
      </w:r>
    </w:p>
    <w:p>
      <w:r>
        <w:rPr>
          <w:b/>
        </w:rPr>
        <w:t>E. 3.3</w:t>
      </w:r>
    </w:p>
    <w:p>
      <w:r>
        <w:t>En l'espèce, le jugement comporte les déclarations de B.________ au sujet notamment des décès de ses parents et de son exil en raison de la guerre (jgt., p. 3). Dans la discussion de la peine, les premiers juges ont fait référence à la précarité de sa situation (jgt., p. 12), exprimant cependant des réserves quant au récit livré par le prévenu sur sa situation personnelle en raison des nombreuses fausses identités dont il a usées et des informations contradictoires qu’il a communiquées aux autorités au sujet de sa provenance et de son parcours (jgt., p.6). Cette appréciation n’est en rien arbitraire, en ce sens que non seulement les déclarations de l’appelant sur sa situation personnelle sont invérifiables, mais surtout elles sont douteuses dès lors qu’il en a livré plusieurs versions distinctes. Dans la mesure où l’expert psychiatre (cf. rapport d'expertise psychiatrique du 1 er décembre 2010) a posé le diagnostic de "status post état de stress post-traumatique et de modification durable de la personnalité après une expérience de catastrophe" , la scène traumatisante de la mise à mort de son père n’est vraisemblablement pas mensongère ; l’expert a toutefois estimé que le diagnostic de modification durable de la personnalité qui en résulte, s’il est présent, émerge davantage comme conséquence logique que comme réelle manifestation symptomatique actuelle (cf. rapport d'expertise précité, p. 14 in fine). Ainsi, il convient de relever que la peine d’ensemble infligée de vingt mois de privation de liberté s’avère clémente, ce dans la mesure où elle sanctionne une infraction grave en état de récidive spéciale à la loi fédérale sur les stupéfiants en concours avec une infraction à la loi fédérale sur les étrangers relevant également d’une récidive spéciale, mais également dans la mesure où la culpabilité est taxée de lourde et que la quotité de la sanction inclut une peine antérieure de cinq mois. En tenant compte de toutes les circonstances, y compris du vécu traumatisant de B.________, ce quantum doit dès lors être confirmé. 4. Se référant aux déclarations de son amie à son sujet, ténorisées aux débats (jgt., p. 4), l’appelant demande à bénéficier d’un sursis ou à ce que le sursis octroyé le 12 février 2010 ne soit pas révoqué. 4.1. En matière de sursis,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3.1.2 non publié; Kuhn, Commentaire romand, Code pénal I, Bâle 2009, n. 17 ad art. 42, p. 438). Le pronostic doit être posé sur la base de tous les éléments propres à éclairer l'ensemble du caractère de l'accusé et ses chances d'amendement. Il n'est pas admissible d'accorder un poids particulier à certains critères et d'en négliger d'autres qui sont pertinents. 4.2. En l'occurrence, il est exact que l'amie de l'appelant a déclaré qu’elle pensait qu’il avait compris la leçon et qu’il ne commettrait plus d’actes semblables. Toutefois, à l’opposé de cette opinion non dépourvue de portée affective, on constate objectivement que l’appelant a repris son trafic de stupéfiants après une période de détention avant jugement et une première condamnation, circonstances qui ne l’ont donc nullement dissuadé d’agir pénalement. En outre, l’expert psychiatre a qualifié le risque de récidive d’élevé (cf. rapport d'expertise psychiatrique du 1 er décembre 2010, p. 14). Enfin, l’appelant a constamment tenté de minimiser ses actes punissables ce qui ne permet pas de se convaincre d’une réelle prise de conscience de sa part. Dans ce contexte, seul un pronostic défavorable peut être formé. Le jugement ne procède donc pas d’une fausse application de l’art. 42 al. 1 CP. A fortiori il en va de même de l’art. 46 al. 2 CP. 5. Au vu de ce qui précède, l'appel doit être intégralement rejeté et le jugement attaqué confirmé. Vu l'issue de la cause, les frais de procédure doivent être mis à la charge de l’appelant (art. 428 al. 1, 1 ère phrase, CPP). Outre l'émolument, ces frais comprennent l’indemnité allouée à défenseur d’office (cf. art. 138 et 422 al. 2 let. a CPP ; art. 2 al. 2 ch. 1 TFJP), arrêtée à 2'487 fr. 80, TVA et débours compris. Le prévenu ne sera tenu de rembourser à l’Etat le montant de l’indemnité en faveur de son conseil d’office prévue ci-dessus que lorsque sa situation financière le permettra (art. 135 al. 4 let. a CPP).</w:t>
      </w:r>
    </w:p>
    <w:p>
      <w:r>
        <w:rPr>
          <w:b/>
        </w:rPr>
        <w:t>E. 8</w:t>
      </w:r>
    </w:p>
    <w:p>
      <w:r>
        <w:t>g par mois, et des achats totalisant 24 g de janvier à septembre 2010, soit une période d’environ sept mois et une consommation moyenne de 3,42 g par mois. 4. L’appelant a admis à deux reprises connaître I.________ et lui avoir fourni un peu de cocaïne, soit lors de son audition le 4 novembre 2010 par la police (pv., p. 4) en identifiant la photo 6 et lors de son audition du 30 novembre 2010 par le Juge d’instruction (pv., p. 1). L’affirmation de l’appelant selon laquelle ses aveux auprès de la police devraient être retranchés parce qu’ils sont intervenus après discussion avec celle-ci (cf. rapport de police, pv du 4 novembre 2010, p. 2 in fine) est inconsistante. Aucun élément ne permet de se convaincre d’une contrainte policière ou d’usage de procédés ne respectant pas les principes du procès équitable (art. 3 CPP). Au demeurant, l’appelant lui-même se borne à évoquer la discussion dont le procès-verbal d’audition fait scrupuleusement mention et ne précise pas en quoi cette discussion rendrait ses aveux irrecevables. Pour ces motifs, la mise en cause par I.________ doit être intégralement retenue. 5. L’appelant invoque encore le principe ne bis in idem (art. 1 CP) en soutenant que les ventes à I.________ du deuxième semestre de 2009 ont déjà été sanctionnées par l’ordonnance du Juge d’instruction du 12 février 2010 (p. 6). Cependant, le rapport de police dit le contraire (cf. rapport de police du 25 novembre 2010, p.5), puisqu'il mentionne : " Précisons que cette mise en cause n’a pas figuré dans la précédente affaire de B.________" , ce qui se vérifie encore à la lecture du rapport de police du 11 décembre 2009. L'ordonnance en question est fondée sur des mises en cause de toxicomanes qui ne comprennent forcément pas celle de I.________ recueillie postérieurement, soit le 8 octobre 2010, et qui ne fait aucune référence à une éventuelle mise en cause antérieure du même dealer pour des faits par hypothèse partiellement identiques. On n’est donc pas en présence de mêmes faits sanctionnés à deux reprises. 6. L’appelant a sollicité une confrontation avec I.________. Il ressort du procès-verbal d'audition de ce dernier qu'il a annoncé repartir définitivement le 27 novembre 2010 pour le Chili, son pays d’origine. En première instance, seul le Ministère public avait demandé son audition aux débats, mais il y avait toutefois renoncé lorsqu’il s’est avéré que la citation à comparaître adressée à I.________ était revenue avec la mention "le destinataire est introuvable à l’adresse indiquée". Il n’y a pas lieu de répéter cette preuve en l’absence de motifs au sens de l’art. 389 al. 2 CPP. Du reste, l’appelant n’expose pas en quoi sa confrontation avec ce témoin constituerait une preuve complémentaire nécessaire au traitement de l’appel alors qu’il ne l’a pas requise en première instance (art. 389 al. 3 CPP). Il convient donc de rejeter cette réquisition que l'appelant n'a d'ailleurs pas réitérée à l'audience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