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149 vom 12. August 2011</w:t>
      </w:r>
    </w:p>
    <w:p>
      <w:r>
        <w:t>VD Tribunal cantonal, 2011-08-12, FR</w:t>
      </w:r>
    </w:p>
    <w:p>
      <w:r>
        <w:rPr>
          <w:b/>
        </w:rPr>
        <w:t xml:space="preserve">Quelle: </w:t>
      </w:r>
      <w:r>
        <w:t>https://mcp.opencaselaw.ch/entscheid/vd_findinfo_Jug___2011___149</w:t>
      </w:r>
    </w:p>
    <w:p>
      <w:r>
        <w:t>FR: VD_FINDINFO Jug / 2011 / 149 du 12 août 2011</w:t>
      </w:r>
    </w:p>
    <w:p>
      <w:r>
        <w:t>IT: VD_FINDINFO Jug / 2011 / 149 del 12 agosto 2011</w:t>
      </w:r>
    </w:p>
    <w:p>
      <w:pPr>
        <w:pStyle w:val="Heading2"/>
      </w:pPr>
      <w:r>
        <w:t>Regeste</w:t>
      </w:r>
    </w:p>
    <w:p>
      <w:r>
        <w:t>CONVENTION SUR LES ASPECTS CIVILS DE L'ENLÈVEMENT INTERNATIONAL D'ENFANTS, LF{MISE EN OEUVRE DES CONVENTIONS SUR L'ENLÈVEMENT INTERNATIONAL D'ENFANTS}, RETOUR, ADMISSION DE LA DEMANDE, RÉSIDENCE HABITUELLE, FRANCE | 13 al. 1 let. b CEIE, 13 al. 2 CEIE, 3 al. 1 CEIE, 5 let. a CEIE, 22 al. 1bis ROTC, 5 CLaH 61, 7 al. 1 LF-EEA, 8 LF-EEA, 9 LF-EEA</w:t>
      </w:r>
    </w:p>
    <w:p>
      <w:pPr>
        <w:pStyle w:val="Heading2"/>
      </w:pPr>
      <w:r>
        <w:t>Erwägungen</w:t>
      </w:r>
    </w:p>
    <w:p>
      <w:r>
        <w:rPr>
          <w:b/>
        </w:rPr>
        <w:t>E. 1</w:t>
      </w:r>
    </w:p>
    <w:p>
      <w:r>
        <w:t>La cour de céans doit statuer sur la demande de retour immédiat en France d'une enfant mineure se trouvant actuellement en Suisse avec sa mère, formulée par le père de l’enfant – codétenteur de l’autorité parentale conjointe, domicilié en France et chez lequel la résidence principale de l’enfant a été judiciairement fixée, du moins à titre provisoire – qui invoque l'application de l'art. 3 CEIE. La CEIE a été signée par la Suisse le 11 octobre 1983 et est entrée en vigueur le 1 er janvier 1984. La France a signé cette convention le 16 septembre 1982 et elle est entrée en vigueur pour cet Etat le 1 er décembre 1983. Cette convention a principalement pour objet d'assurer le retour immédiat des enfants déplacés ou retenus illicitement dans tout Etat contractant (art. 1 let. a) et s'applique à tout enfant qui avait sa résidence habituelle dans un Etat contractant immédiatement avant l'atteinte aux droits de garde ou de visite. Une loi d'application, la LF-EEA, est entrée en vigueur le 1 er juillet 2009. L'enfant B.R.________ ayant toujours eu sa résidence en France ou en Suisse, soit dans un pays lié par la CEIE, celle-ci est applicable à la présente procédure de retour (art. 4 CEIE).</w:t>
      </w:r>
    </w:p>
    <w:p>
      <w:r>
        <w:rPr>
          <w:b/>
        </w:rPr>
        <w:t>E. 2</w:t>
      </w:r>
    </w:p>
    <w:p>
      <w:r>
        <w:t>a) Le tribunal supérieur du canton où l'enfant résidait au moment du dépôt de la demande connaît en instance unique des demandes portant sur le retour d'enfants et peut ordonner des mesures de protection (art. 7 al. 1 LF-EEA). Dans le canton de Vaud, cette instance cantonale unique est la Chambre des tutelles (art. 22 al. 1bis ROTC [règlement organique du Tribunal cantonal du 13 novembre 2007 ; RSV 173.31.1]). b/aa) Conformément à l'art. 8 LF-EEA, le tribunal engage une procédure de conciliation ou une médiation en vue d'obtenir la remise volontaire de l'enfant ou de faciliter une solution amiable, si l'autorité centrale ne l'a pas déjà fait (al. 1).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Il entend l'enfant de manière appropriée ou charge un expert de cette audition, à moins que l'âge de l'enfant ou d'autres justes motifs ne s'y opposent (al. 2). Il ordonne la représentation de l'enfant et désigne en qualité de curateur une personne expérimentée en matière d'assistance et versée dans les questions juridiques. Celle-ci peut formuler des requêtes et déposer des recours (al. 3). bb) Dans le cas présent, il résulte des pièces produites au dossier que le requérant a décliné la proposition de l’OFJ d’engager une procédure de médiation. A l'audience du 8 août 2011, la conciliation a été vainement tentée. Les parties ont en outre exprimé leur refus d'entamer une démarche de médiation. La cour de céans a désigné Me Patricia Michellod, avocate à Nyon, en qualité de représentante d'B.R.________. Le père et la mère de l'enfant, ainsi que la curatrice, ont été entendus par la Chambre des tutelles lors de l'audience du 8 août 2011. B.R.________, née le [...] 2002, a été entendue par le SPJ, qui est un spécialiste de l'enfance, ce qui est conforme aux exigences posées à l'art. 9 al. 2 LF-EEA. Elle a en outre été entendue, personnellement et hors de la présence de ses parents, par sa curatrice, qui a répercuté sa position en procédure. Le droit d'être entendu des intéressés a donc été respecté.</w:t>
      </w:r>
    </w:p>
    <w:p>
      <w:r>
        <w:rPr>
          <w:b/>
        </w:rPr>
        <w:t>E. 3</w:t>
      </w:r>
    </w:p>
    <w:p>
      <w:r>
        <w:t>a) Selon l'art. 3 al. 1 let. a CEIE, le déplacement ou le non-retour d'un enfant est considéré comme illicite lorsqu'il a lieu en violation d'un droit de garde, attribué à une personne, une institution ou un organisme, seul ou conjointement, par le droit de l'Etat dans lequel l'enfant avait sa résidence habituelle immédiatement avant son déplacement ou son non-retour. La CEIE ne contient aucune définition de la notion de « résidence habituelle ». La LF-EEA ne précise pas non plus cette notion. Selon la jurisprudence, elle doit être interprétée de manière autonome. La résidence habituelle doit se déterminer en principe de la même manière que le critère de rattachement semblable prévu par la CLaH 61 (Convention de La Haye du 5 octobre 1961 concernant la compétence des autorités et la loi applicable en matière de protection des mineurs ; RS 0.211.231.01). Est ainsi déterminant le centre effectif de vie de l'enfant et de ses attaches. Celui-là peut résulter soit de la durée de fait de la résidence et des relations ainsi créées, soit de la durée envisagée de la résidence et de l'intégration attendue. Un séjour de six mois crée en principe une résidence habituelle ; la résidence peut également devenir habituelle sitôt après le changement du lieu de séjour, si elle est destinée à être durable et à remplacer le précédent centre d'intérêt. La résidence habituelle se détermine d'après les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 les liens d'une mère avec un pays englobent en règle générale également l'enfant (TF 5A_257/2011 du 25 mai 2011 c. 2.2 ; SJ 2010 I p. 193 ; TF 5A_427/2009 du 27 juillet 2009 c. 3.2). Pour admettre l'illicéité du déplacement ou du non-retour, la CEIE pose une seconde condition, à savoir que le droit de garde était exercé de façon effective au moment du déplacement ou du non-retour, ou l'eût été si de tels événements n'étaient survenus (art. 3 al. 1 let. b CEIE). Le Tribunal fédéral a admis que cette condition devait être admise de façon large, ainsi lorsque le détenteur de la garde engage une démarche pour obtenir le retour de l'enfant (ATF 133 III 694 c. 2.2.1). Aux termes de l'art. 5 let. a CEIE, le droit de garde comprend le droit portant sur les soins de la personne de l'enfant, en particulier celui de décider de son lieu de résidence. b/aa) En l'espèce, depuis sa naissance, l'enfant a vécu en France, à Paris, avec ses deux parents jusqu’à la séparation de ceux-ci en 2007, puis dans le même pays au domicile de son père – avec l’approbation de sa mère – jusqu’aux vacances de Pâques d'avril 2011. Dans ces conditions, la cour de céans considère que la résidence habituelle d'B.R.________ avant son déplacement en Suisse était située en France, de sorte que seul le droit français est applicable pour déterminer si le déplacement de l’enfant en Suisse était illicite ou non. bb) Selon le droit civil français, l’autorité parentale sur l’enfant B.R.________ était, et demeure, exercée en commun par les deux parents (cf. art. 372 al. 1 du Code civil français [ci-après : CCF]). Aux termes de l’art. 373-2 CCF, la séparation des parents est sans incidence sur les règles de dévolution de l’exercice de l’autorité parentale (al. 1). Chaque parent doit maintenir des relations personnelles avec l’enfant et respecter les liens de celui-ci avec l’autre (al. 2).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(al. 3). Dans le cas particulier, le droit de garde au sens de la convention, soit l’autorité parentale en droit français, était exercé conjointement par les deux parents, qui avaient décidé que l’enfant vivrait chez son père. Le non-retour d’B.R.________ chez celui-ci en France au terme de la durée des vacances de Pâques 2011 prévues chez la mère en Suisse est donc intervenu en violation du droit de garde attribué au requérant par le droit de l’Etat de la résidence habituelle au sens de l’art. 3 al. 1 let. a CEIE. Ce droit de garde était au demeurant exercé de façon effective par le requérant (cf. art. 3 al. 1 let. b CEIE). c) De plus, la CEIE ne suppose pas nécessairement l’existence d’une décision portant sur la garde ou le droit de visite. Elle s’applique à tous les cas de violation d’un droit de garde fondé sur le droit de l’Etat dans lequel l’enfant avait sa résidence habituelle immédiatement avant son déplacement ou son non-retour (Bucher, L’enfant en droit international privé, 2003, n o 434, p. 150). Le droit de l’Etat en question comprend ses règles de conflit (Dutoit, Droit international privé suisse, Commentaire de la loi fédérale du 18 décembre 1987, 4 ème éd., 2005, n o 15 ad art. 85 LDIP, p. 285). En l’occurrence, tant la France que la Suisse sont parties à la CLaH 61. L’art. 5 de cette convention prévoit, sous réserve des cas d’urgence, qu’au cas de déplacement de la résidence habituelle d’un mineur d’un Etat contractant dans un autre, les mesures prises par les autorités de l’Etat de l’ancienne résidence habituelle restent en vigueur tant que les autorités de la nouvelle résidence habituelle ne les ont pas levées ou remplacées (al. 1) ; les mesures prises par les autorités de l’Etat de l’ancienne résidence habituelle ne sont levées ou remplacées qu’après avis préalable auxdites autorités (al. 2) ; au cas de déplacement d’un mineur qui était sous la protection des autorités de l’Etat dont il est ressortissant, les mesures prises par elles suivant leur loi interne restent en vigueur dans l’Etat de la nouvelle résidence habituelle (al. 3). Il en résulte que la décision judiciaire française rendue le 7 juillet 2011, qui fixe notamment au domicile du père en France la résidence principale de l’enfant, est en vigueur en Suisse et fonde l’illicéité du déplacement. En effet, le caractère illicite du déplacement peut également être établi par une décision rendue postérieurement à celui-ci (cf. art. 12 de la Convention européenne du 20 mai 1980 sur la reconnaissance et l’exécution des décisions en matière de garde des enfants et le rétablissement de la garde des enfants [Convention de Luxembourg; RS 0.211.230.01], ratifiée tant par la Suisse que par la France ; TF 5A_131/2011 du 31 mars 2011 c. 2.1). Au vu de ce qui précède, l’art. 12 al. 1 CEIE impose en principe à la Chambre des tutelles d’ordonner le retour immédiat d'B.R.________ en France auprès du requérant.</w:t>
      </w:r>
    </w:p>
    <w:p>
      <w:r>
        <w:rPr>
          <w:b/>
        </w:rPr>
        <w:t>E. 4</w:t>
      </w:r>
    </w:p>
    <w:p>
      <w:r>
        <w:t>a) Il convient toutefois encore d’examiner les exceptions de l’art. 13 al. 1 let. b et al. 2 CEIE soulevées par l’intimée, qui affirme d’une part qu’B.R.________ risque d’être gravement placée – du fait de son retour – dans une situation intolérable et, d’autre part, que l’enfant s’oppose à son retour alors qu’elle a atteint un âge ou une maturité où il se révèle approprié de tenir compte de son opinion. b/aa) Aux termes de l’art. 13 al. 1 let. b CEIE, l'autorité judiciaire ou administrative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Une exception au retour en vertu de cette disposition n'entre en considération que si le développement intellectuel, physique, moral ou social de l'enfant est menacé d'un danger sérieux. Le fardeau de la preuve incombe à la personne qui s'oppose au retour de l'enfant (TF 5A_285/2007 du 16 août 2007 c. 4.1). La jurisprudence a précisé qu'il ne faut pas ignorer que le préjudice éventuel causé à l'enfant par le franchissement des frontières est imputable au seul parent qui l'a enlevé et que celui-ci est responsable de tous les inconvénients liés à la correction des conséquences de son mauvais comportement. Ce parent ne peut se prévaloir d'une situation ou d'un danger qu'il a lui-même créé (ATF 130 III 530 c. 2 in fine, JT 2005 I 132). Le risque que le parent ravisseur fasse l'objet d'une procédure pénale dans le pays d'origine ou que l'enfant soit séparé de sa mère ne constitue pas un motif de refuser le retour au sens de l'art. 13 al. 1 let. b CEIE (ATF 130 III 530 précité c. 3). Le Tribunal fédéral admet néanmoins qu'un risque au sens de cette disposition existe lorsque l'enfant concerné est un nourrisson. Il a aussi admis un tel risque dans le cas d'un enfant d'un peu moins de deux ans qui n'avait pratiquement pas eu de contacts avec son père (TF 5A_105/2009 du 16 avril 2009 c. 3.3 et 3.4 ; cf. également TF 5A_913/2010 du 4 février 2011 c. 5.1, publié in La pratique du droit de la famille [FamPra.ch] 2011 p. 505). bb) En l’espèce, si le cadre de vie offert à B.R.________ par l’intimée paraît certes plus attractif – en tant qu’il assure à l’enfant une présence parentale plus soutenue, du moins tant qu’elle n’était pas scolarisée puisqu’elle accompagnait sa mère sur son lieu de travail à Genève –, la situation d'B.R.________ à Paris n’apparaît cependant ni dangereuse, ni intolérable. Selon la perception qu’en a eue le SPJ, un retour en France ne poserait pas de difficultés particulières, compte tenu notamment de l’équilibre et de l’affectivité de l’enfant. De plus, son environnement à Paris ne lèse pas son intérêt. Le retour n'exposerait donc pas B.R.________ à un danger physique ou psychique ni ne la placerait dans une situation intolérable au sens de l'art. 13 al. 1 let. b CEIE. c/aa) En ce qui concerne l'exception prévue à l'art. 13 al. 2 CEIE, l'enfant doit être en mesure de comprendre le sens d’une décision de retour. Il doit notamment pouvoir réaliser qu’il n'en va pas de l’autorité parentale ou du droit de garde, mais uniquement du rétablissement du statu quo ante, et que la question de savoir dans quel pays et auprès de quel parent il vivra à l’avenir sera tranchée par les tribunaux de l'Etat d'origine. Or, un jeune enfant n’a précisément pas la capacité de discernement nécessaire par rapport à la problématique posée par la décision de retour et les éléments sur lesquels il pourrait s’exprimer utilement – soit la situation actuelle et les relations avec les parents – ne sont pas pertinents dans le cadre de cette procédure spécifique (Meier, La position des personnes concernées dans les procédures de protection des mineurs et des adultes – Quelques enseignements de la jurisprudence fédérale récente, in Revue du droit de tutelle [RDT] 2008, pp. 399 ss, spéc. p. 404 ; cf. également ATF 134 III 88, JT 2009 I 161 et ATF 131 III 334 c. 5, JT 2006 I 17). Selon la jurisprudence, l’âge imposant de tenir compte de l’opinion de l’enfant serait atteint pour des frères de quatorze ans et de douze ans et demi (Schaefer-Altiparmakian, Aspects juridiques de l’enlèvement d’enfants par un parent, thèse Fribourg 2001, n° 919, p. 314). Pour Bucher (op. cit., n os 486-489, pp. 168-169), il n’y a pas de règle fixant l’âge déterminant à quatorze ans. La maturité est suffisante si l’enfant comprend les éléments essentiels de la situation et les intérêts respectifs des personnes concernées et s’il est apte à les apprécier et à former sur cette base sa propre opinion. Cette maturité peut être présente chez des enfants de dix et onze ans et ne pas apparaître chez des enfants de treize ans. L’enfant qui ne peut se détacher de l’influence exercée par chacun de ses parents pour se former sa propre opinion manque de maturité. L’autorité qui ordonne le retour doit être convaincue que l’enfant qui s’oppose au retour est apte à le supporter. bb) En l’espèce, B.R.________, actuellement âgée de neuf ans révolus, a exprimé à plusieurs reprises – tant oralement que par écrit – son souhait de demeurer auprès de sa mère. Elle a néanmoins déclaré qu’elle se soumettrait à un retour en France, même si celui-ci l’attristerait et qu’elle en voudrait à son père. Il apparaît qu’elle est ainsi apte à supporter le retour en France. Une certaine maturité est établie par les constations du SPJ, mais celles-ci sont un tant soit peu contredites par les affirmations de la mère et de la curatrice, qui laissent transparaître un bouleversement émotionnel de l’enfant plus profond que ce qui ressort du rapport du 18 juillet 2011. B.R.________ n’avait pas encore neuf ans révolus lorsqu’elle et sa mère se sont opposées à son retour. Si la décision de rester à Lausanne est censée émaner exclusivement de l’enfant – qui l’aurait exprimée quelques jours avant la fin des vacances de Pâques en refusant de repartir à Paris – et n’être que soutenue par sa mère, on constate que cette dernière a, contrairement à ce qu’elle a déclaré lors de l’audience, inscrit sa fille au contrôle des habitants le 20 avril 2011, soit le premier jour des vacances à Lausanne. Cet élément donne à penser que le non-retour était programmé et qu’au fil de la semaine, l’enfant a peut-être été incitée à s’y rallier. Enfin, les écrits et déclarations d’B.R.________, destinés aux juges français et suisses, énumérant les motifs de son non-retour paraissent d’inspiration adulte. A cet égard, on peut par exemple citer la description des difficultés de prise en charge familiale à Paris, de même que les phrases : « Je veux dire a (sic) un juge que je veux vivre avec ma maman » et « Mon choix est d’être avec ma mère », ainsi que le fait que, selon l’écriture de la curatrice, elle indique déplorer que son père ne l’ait pas aidée à lutter contre son excès de poids. Au regard de ces éléments, la pensée de l’enfant manifestant une certaine soumission dans la forme comme dans le fond à des vues d’adulte, il faut considérer qu’B.R.________ n’a pas acquis une maturité suffisante de par son âge et son degré d’autonomie pour que son opposition aboutisse à empêcher son retour en France en application de l’art. 13 al. 2 CEIE.</w:t>
      </w:r>
    </w:p>
    <w:p>
      <w:r>
        <w:rPr>
          <w:b/>
        </w:rPr>
        <w:t>E. 5</w:t>
      </w:r>
    </w:p>
    <w:p>
      <w:r>
        <w:t>. En définitive, la requête en retour déposée par A.R.________ doit être admise et le retour en France d’B.R.________ ordonné. Le SPJ sera chargé de l'exécution du retour de l’enfant, en tant qu'elle aura effet sur le territoire suisse (art. 11 al. 2 LF-EEA). Dans cette perspective, les documents d’identité saisis lui seront transmis, à charge pour ce service de restituer ceux de l’intimée à celle-ci personnellement et ceux concernant B.R.________ au père, ceci au moment du passage de l’enfant. Conformément à l'art. 12 al. 2 LF-EEA, le SPJ s'efforcera d'obtenir l'exécution volontaire de la présente décision. A défaut d'un accord entre les parents, il décidera qui accompagnera l'enfant lors de son retour, que ce soit l'un des parents ou un tiers. La présente décision est rendue sans frais (art. 14 LF-EEA et 26 CEIE). Le requérant, qui obtient gain de cause et qui a procédé par l'intermédiaire d'un mandataire professionnel, a droit à des dépens destinés à couvrir les honoraires et les débours de son conseil, qu'il convient d'arrêter à 2'000 fr. et de mettre à la charge de l’intimée (art. 26 al. 4 CEIE). Il n'y a pas lieu d'allouer des dépens à la curatrice de l'enfant, qui n'est pas une partie adverse du requérant au retour et qui doit être indemnisée par l'Etat pour son intervention dans la présente procédure. Il convient de fixer cette indemnité à 2'620 fr., débours compris mais sans TVA (cf. circulaire du Tribunal cantonal n o 4 du 31 janvier 2011 relative à la rémunération des tuteurs et curateurs, p. 2 in fine). Par ces motifs, la Chambre des tutelles du Tribunal cantonal, statuant à huis clos, prononce : I. Le retour en France de l'enfant B.R.________, née le [...] 2002, est ordonné. II. Ordre est donné à L.________, dès que la présente décision lui aura été notifiée, de remettre l'enfant B.R.________ au Service de protection de la jeunesse, au moment et selon les modalités que ce dernier lui indiquera, cela sous la menace de la peine d'amende de l'art. 292 CP. III. Le Service de protection de la jeunesse est chargé de l'exécution du chiffre I ci-dessus, le cas échéant avec le concours de la force publique, injonction étant d'ores et déjà faite aux agents de la force publique de concourir à l'exécution forcée s'ils en sont requis par le Service de protection de la jeunesse. Les documents d'identité saisis sont remis au Service de protection de la jeunesse, qui restituera à L.________ ceux qui la concernent et à A.R.________ ceux qui concernent sa fille B.R.________, cela au moment du passage de l'enfant. IV. L'intimée L.________ doit verser au requérant A.R.________ la somme de 2'000 fr. (deux mille francs) à titre de dépens. V. Toutes autres ou plus amples conclusions sont rejetées. VI. L'indemnité de curatrice allouée à Me Patricia Michellod est fixée à 2'620 fr. (deux mille six cent vingt francs), débours compris, sans TVA, et mise à la charge de l'Etat. VII. La décision est rendue sans frais. Le président :              La greffière : Du L'arrêt qui précède, dont la rédaction a été approuvée à huis clos, est notifié à : ‑ Me Nicolas Saviaux (pour A.R.________), ‑ Me Claude-Alain Boillat (pour L.________), - Me Patricia Michellod (pour B.R.________), - Service de protection de la jeunesse, et communiqué à : ‑ Office fédéral de la justice,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