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146 vom 30. November 2011</w:t>
      </w:r>
    </w:p>
    <w:p>
      <w:r>
        <w:t>VD Tribunal cantonal, 2011-11-30, FR</w:t>
      </w:r>
    </w:p>
    <w:p>
      <w:r>
        <w:rPr>
          <w:b/>
        </w:rPr>
        <w:t xml:space="preserve">Quelle: </w:t>
      </w:r>
      <w:r>
        <w:t>https://mcp.opencaselaw.ch/entscheid/vd_findinfo_Jug___2011___146</w:t>
      </w:r>
    </w:p>
    <w:p>
      <w:r>
        <w:t>FR: VD_FINDINFO Jug / 2011 / 146 du 30 novembre 2011</w:t>
      </w:r>
    </w:p>
    <w:p>
      <w:r>
        <w:t>IT: VD_FINDINFO Jug / 2011 / 146 del 30 novembre 2011</w:t>
      </w:r>
    </w:p>
    <w:p>
      <w:pPr>
        <w:pStyle w:val="Heading2"/>
      </w:pPr>
      <w:r>
        <w:t>Regeste</w:t>
      </w:r>
    </w:p>
    <w:p>
      <w:r>
        <w:t>COURTAGE | 151 CO, 156 CO, 412 CO, 413 CO, 417 CO, 8a LP</w:t>
      </w:r>
    </w:p>
    <w:p>
      <w:pPr>
        <w:pStyle w:val="Heading2"/>
      </w:pPr>
      <w:r>
        <w:t>Erwägungen</w:t>
      </w:r>
    </w:p>
    <w:p>
      <w:r>
        <w:rPr>
          <w:b/>
        </w:rPr>
        <w:t>E. 10</w:t>
      </w:r>
    </w:p>
    <w:p>
      <w:r>
        <w:t>décembre 1907; RS 210]). Quant à la détermination du salaire, comme le contrat de courtage consiste en un contrat onéreux, le mandant doit donc au courtier un salaire en cas de succès (Engel, op. cit., p. 523; Tercier, op. cit., n. 5057; Rayroux, Commentaire romand, Code des obligations I, nn. 5 ss ad art. 412 CO). L'obligation de payer le salaire ne dépend pas d'une manifestation de volonté, expresse ou tacite, par laquelle le mandant ratifierait les actes du courtier ou accepterait après coup ses services. Le paiement du salaire est dû en raison de la conclusion du contrat de courtage: s'il conclut le contrat principal, le mandant ne peut décider de son obligation de payer une commission. En revanche, la conclusion du contrat principal entraîne la conclusion du contrat de courtage et, partant, donne naissance au droit au salaire du courtier, comme dans le cas de la gestion d'affaires au sens de l'art. 424 CO (Rayroux, op. cit., n. 18 ad art. 412 CO et les références citées). Si le mandant utilise à son profit les fruits des efforts déployés par le courtier et conclut le contrat principal en ayant eu recours aux services du courtier, le courtier a droit à la commission (Rayroux, op. cit., n. 18 ad art. 412 CO et les références citées). c) En l'espèce, il est constant qu'un contrat de courtage non exclusif a été conclu le 1 er septembre 2006 entre la demanderesse et le défendeur. Les parties admettent d'ailleurs l'existence et la qualification du contrat. Selon ce contrat, le courtier devait intervenir comme négociateur ou comme indicateur afin de trouver un acquéreur disposé à acheter la parcelle no [...] seule pour le prix de 9'500'000 fr. ou les parcelles nos [...], [...], [...] et [...] pour le prix de 14'000'000 francs. Le contrat prévoyait que si l'activité du courtier permettait d'aboutir à la conclusion d'une vente ou d'une promesse de vente, le taux de la commission due au courtier était de 3% du prix de vente et de 5% sur le prix de vente des objets mobiliers si l'objet était vendu avec le mobilier. Il était spécifié que le courtier avait droit à sa commission même si l'objet était vendu à un prix inférieur au prix de vente demandé. Les parties avaient prévu que le mandat prenait fin le 28 février 2007, mais qu'il pouvait être tacitement reconduit pour une même durée de six mois, de six mois en six mois, sauf avis de résiliation donné un mois à l'avance pour le terme prévu. Dès lors, les parties se sont incontestablement accordées sur la définition du type d'activité et sur le salaire. III. a) Selon l'art. 413 CO, le courtier a droit à son salaire dès que l'indication qu'il a donnée ou la négociation qu'il a conduite aboutit à la conclusion du contrat. La nature aléatoire de la rémunération du courtier est un élément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Le but de l'art. 413 CO est de rémunérer le succès du courtier, et non les efforts qu'il a déployés (Rayroux, op. cit., nn. 1-2 ad art. 413 CO). Ainsi, pour prétendre à un salaire, le courtier doit prouver, d'une part, qu'il a développé une certaine activité (aa) et, d'autre part, qu'il existe un lien de causalité entre son activité et la conclusion du contrat principal (ab) (ATF 131 III 268 c. 5.1.2; Ammann, op. cit., n. 8 ad art. 413 CO; Engel, op. cit., pp. 530 et 531). En outre, le contrat principal doit être conforme aux désirs du mandant (ac) (Marquis, Le contrat de courtage immobilier et le salaire du courtier, thèse Lausanne, 1993, p. 397). aa) Le salaire peut, en principe, être exigé par le courtier dès la conclusion par le mandant du contrat principal que le courtier était chargé d'indiquer ou de négocier (art. 151 ss CO). Si le courtier n'a contribué à la conclusion du contrat principal qu'en indiquant l'occasion de conclure, alors qu'il s'était engagé à le négocier, il n'a pas droit à son salaire. Le droit au salaire du courtier est ainsi sujet à la seule condition que l'affaire soit conclue grâce à l'activité qu'il a déployée conformément aux termes du contrat de courtage. Il s'agit d'une condition potestative suspensive. En effet, le mandant est libre de conclure l'affaire ou de la refuser, et ce même si le courtier lui présente une affaire aux conditions convenues (Marquis, op. cit., p. 343; Rayroux, op. cit., n. 6 ad art. 413 CO et les références citées). L'indication ou la négociation doit avoir abouti à la conclusion d'un contrat principal valable en la forme et au fond. Il ne suffit cependant pas que le contrat soit conclu, encore faut-il qu'il soit venu à chef, c'est-à-dire qu'il soit à même de déployer ses effets, de produire l'effet recherché par le mandant (Marquis, op. cit., p. 344 et p. 361). Si les parties ont soumis le début des effets du contrat principal à un terme, il convient d'examiner si ce terme était fixé de manière incertaine ou de manière certaine. Dans le premier cas, le contrat principal est certes formellement conclu, mais il n'est pas à même de déployer ses effets. Un tel contrat ne permettant pas au mandant d'atteindre le succès escompté, il convient de le soumettre aux mêmes règles que le contrat principal affecté d'une condition suspensive. Le salaire du courtier ne sera donc gagné qu'en cas de survenance du terme. Dans le second cas, le courtier a droit à sa provision dès le moment de la conclusion du contrat principal (Marquis, op. cit., pp. 371-372). Le courtier a, en principe, droit à son salaire même si le mandant conclut le contrat principal en ignorant que la conclusion est le résultat des activités déployées par le courtier. En effet, s'il a eu recours à un courtier, le mandant doit compter avec la possibilité que les tiers intéressés lui aient été envoyés par le courtier. Cela dit, si le courtier a omis d'informer le mandant qu'il a trouvé un amateur, et s'il devait avoir des raisons sérieuses de penser que celui-ci se mettrait directement en contact avec le mandant, il peut être tenu d'indemniser le mandant en raison de l'exécution imparfaite du contrat de courtage – violation de l'obligation d'information (art. 97 al. 1 CO) –, par exemple si le mandant n'a pu tenir compte, en raison de cette omission, du salaire dû au courtier dans la fixation des conditions du contrat principal (Rayroux, op. cit., n. 10 ad art. 413 CO et les références citées). ab) Le droit au salaire du courtier est soumis à la condition que l'activité qu'il a déployée aboutisse à la conclusion du contrat principal. L'existence d'un lien de causalité entre les efforts du courtier et la conclusion du contrat principal est ainsi requise. Dans le contexte précis du contrat de courtage, la notion de lien de causalité doit être comprise au sens d'un lien psychologique qui doit exister entre les efforts du courtier et la conclusion du contrat principal (Rayroux, op. cit., nn. 19-20 ad art. 413 CO et les références citées). La notion de lien psychologique sous-entend qu'il n'est pas nécessaire que la décision de l'amateur soit due exclusivement ou principalement à l'intervention du courtier. Il suffit que celui-ci ait fait naître chez le tiers une des raisons qui l'ont engagé à conclure, soit qu'il existe un lien entre les efforts du courtier et la décision du tiers, décision qui peut subsister malgré la rupture des pourparlers (Marquis, op. cit., pp. 436-437). La disposition de l'art. 413 CO est de droit dispositif. Les parties peuvent ainsi conventionnellement y déroger et soit alléger, soit alourdir, les exigences posées quant à l'existence du lien de causalité entre les efforts du courtier et la conclusion du contrat principal (Rayroux, op. cit., nn. 19-20 ad art. 413 CO et les références citées). En matière de courtage d'indication, il suffit que le courtier annonce l'occasion de conclure au mandant. On peut distinguer deux phases: tout d'abord le courtier recherche des amateurs, puis il communique au mandant les occasions de conclure (Marquis, op. cit., p. 421). Dans le cadre de la première phase, en matière immobilière, il s'agit d'insérer des annonces dans les journaux, de répondre aux annonces, de tenir des fichiers, de placarder l'objet à vendre, de provoquer des contacts avec des professionnels ou des personnes externes à la profession. Cette période de recherche n'étant pas une condition essentielle de l'activité du courtier, celui-ci peut avoir connaissance d'un amateur par hasard et non en développant son activité de recherche, sans que cela remette en cause son droit au salaire (Marquis, op. cit., p. 422). Le courtier est tenu de communiquer au mandant toutes les démarches positives qu'il a entreprises, c'est-à-dire qu'il doit nommer tout amateur qui semble intéressé à l'affaire (Marquis, op. cit., p. 423), mais nul besoin qu'il mette les parties en contact comme en matière de courtage de négociation (Marquis, op. cit., p. 424). La théorie du lien psychologique s'applique au courtage d'indication. Le droit du courtier à son salaire est donc subordonné à la condition qu'il ait fait naître chez le tiers l'une des raisons qui l'ont poussé à conclure. Il incombe au courtier de prouver qu'il a été le premier à désigner le tiers intéressé et que c'est sur la base de cette indication que les parties sont entrées en relation et ont conclu le marché (Rayroux, op. cit., n. 22 ad art. 413 CO et les références citées; Marquis, op. cit., p. 437). Pour que l'existence du lien de causalité soit établie, il faut que le courtier ait communiqué au mandant une occasion de conclure qui lui était inconnue jusque-là. Il importe peu que le mandant ait connu le tiers, il suffit qu'il ait ignoré que celui-ci était intéressé à la conclusion d'un tel contrat et désireuse de conclure. De même, le fait que, même sans information fournie par le courtier, le mandant aurait tôt ou tard eu connaissance de l'occasion, ne remet pas en cause le droit du courtier à son salaire. Dans l'hypothèse où le mandant connaissait déjà l'amateur indiqué par le courtier, il a l'obligation d'en informer immédiatement le courtier. S'il manque à cette obligation, il s'expose à devoir payer au courtier des dommages et intérêts pour toutes les dépenses que celui-ci aurait dès ce moment engagées en relation avec cet amateur (Marquis, op. cit., p. 439). L'activité d'un autre courtier, qui ultérieurement indique le même amateur, ne peut plus être dans un rapport de causalité si le contrat principal est conclu avec cet amateur. La doctrine admet de manière unanime qu'en cas d'activité de plusieurs courtiers indicateurs, le mandant ne doit donc payer qu'un salaire au courtier qui, le premier, lui a indiqué l'amateur avec lequel le contrat principal a été conclu (Marquis, op. cit., pp. 219-220). En matière de courtage de négociation, qui est défini comme étant une activité d'entremise par laquelle le courtier amène les futurs cocontractants à harmoniser les diverses exigences qui les séparent, à préparer le contrat principal conformément à ce qui est prévu dans le contrat de courtage et à infléchir la volonté du tiers de conclure le contrat principal, on distingue quatre phases (Marquis, op. cit., p. 425 et les références citées). La première phase de recherche d'un amateur n'est pas nécessaire et n'est normalement pas suffisante à elle seule pour donner naissance au droit au salaire. Le fait que le mandant connaissait déjà l'amateur au moment où le courtier lui en communique le nom ne remet pas forcément en cause le droit au salaire. Il suffit que le courtier puisse encore exercer une influence décisive sur la volonté du tiers de conclure, pour qu'une activité de négociation soit possible. Il faut réserver l'hypothèse dans laquelle le mandant connaît déjà l'amateur et signifie au courtier qu'il ne doit pas intervenir dans les négociations qui sont déjà engagées entre eux. S'il néglige d'en informer le courtier, la jurisprudence et la doctrine estiment que l'on peut considérer les relations entre le mandant et l'amateur comme rompues, rien ne s'opposant dès lors à la négociation du courtier (Marquis, op. cit., p. 426). La deuxième phase est celle de la communication de l'occasion de conclure à l'amateur. Dans le cas où le courtier fait part de l'occasion à l'amateur et que celui-ci contacte le mandant avec qui il conclut immédiatement, il est nécessaire que l'amateur n'ait pas auparavant connu l'occasion de conclure pour que le courtier ait droit à son salaire (Marquis, op. cit., p. 427). La troisième phase est celle du travail de négociation auprès de l'amateur. La quatrième phase est celle de la communication au mandant que l'amateur est prêt à conclure (Marquis, op. cit., p. 427). Il n'est pas nécessaire que le courtier soit intervenu à chacun de ces stades, mais il suffit qu'à un moment de son activité, il ait provoqué un des motifs qui a déterminé le tiers à conclure. Cependant, la simple indication ou la mise en contact des parties ne constitue en général pas une activité suffisamment étendue pour justifier le droit au salaire du courtier négociateur (Marquis, op. cit., pp. 427-429). La question du lien psychologique joue un rôle plus important en matière de courtage de négociation qu'en matière de courtage d'indication. L'existence du lien de causalité dépend de l'influence que le courtier peut exercer sur la disposition du tiers à conclure le contrat principal. Cela présuppose que le courtier ait réussi à provoquer chez l'amateur un des motifs qui l'ont poussé à conclure. Le motif ou la raison que le courtier a réussi à susciter chez l'amateur ne peut être quelconque, mais il doit revêtir une certaine importance dans le processus de décision de celui-ci. Si le courtier prétend avoir influencé la volonté du mandant de manière importante, alors qu'en fait il n'a provoqué qu'un motif subalterne, le lien psychologique n'est pas réalisé. Il est difficile de dire quels éléments ont pu être déterminants dans une prise de décision. Il n'est pas possible de juger cette question de manière objective; au contraire, il faut tenter de déceler quelle valeur le tiers a attaché à certains actes effectués par le courtier (Marquis, op. cit., pp. 441-443). L'existence d'un rapport de causalité n'est pas exclue dans les cas où les pourparlers ont été interrompus et qu'ils ont été repris par la suite sans que le courtier intervienne, ni même lorsque le succès du courtage est dû à plusieurs courtiers, et que le courtier n'a pas participé jusqu'à la fin aux efforts qui ont mené à la conclusion du contrat, pourvu que demeure le rapport psychologique entre l'activité déployée par le courtier et la détermination du tiers à traiter l'affaire (Rayroux, op. cit., n. 21 ad art. 413 CO et les références citées; Marquis, op. cit., p. 446). Il n'y a donc pas rupture du lien psychologique lorsque le courtier a déjà suscité l'une des raisons déterminantes qui ont motivé la décision du tiers et que les négociations sont reprises soit par un autre courtier, soit par le mandant lui-même. En revanche, dans l'hypothèse où les négociations du courtier, restées infructueuses jusque-là, sont reprises par le mandant ou un autre courtier, on considère que l'affaire a finalement été conclue sur des bases nouvelles et le lien psychologique avec l'activité du premier courtier est rompu. Ce qui n'est pas le cas lorsque le second courtier, autorisé à négocier à un prix beaucoup plus bas que celui que devait respecter le premier courtier, mène une négociation fructueuse avec l'amateur trouvé par le premier courtier (Marquis, op. cit., pp. 446-448). En vertu de l'art. 8 CC, le fardeau de la preuve du lien de causalité entre son activité et la conclusion du contrat principal incombe au courtier. Toutefois, il existe une présomption de fait en matière de courtage de négociation et d'indication. S'agissant du courtier négociateur, le Tribunal fédéral considère que, si le courtier a déployé une activité propre à agir efficacement sur l'autre partie contractante, on doit admettre que son activité a réellement atteint le résultat cherché, sauf si des circonstances contraires ne permettent pas de l'admettre (Marquis, op. cit., p. 458 et les références citées). Il appartient alors au mandant de prouver l'absence de lien psychologique entre les efforts du courtier et la décision du tiers (Rayroux, op. cit., n. 26 ad art. 413 CO et les références citées). Dans le cadre du courtage d'indication, le lien psychologique est présumé lorsque le mandant conclut le contrat avec la personne que le courtier lui a indiquée. Cette solution s'impose, car il est difficile au courtier de prouver qu'avant l'indication, le mandant ne connaissait pas l'amateur. Ce système aboutit en pratique au régime suivant: le courtier indicateur doit prouver qu'il a indiqué au mandant l'amateur avec lequel le contrat principal a été conclu par la suite. Le mandant peut renverser la présomption en prouvant qu'il connaissait déjà l'amateur et l'intérêt que celui-ci portait à l'affaire, ou en prouvant qu'au moment de l'indication, le tiers n'était pas intéressé à l'affaire et que ce n'est que plus tard qu'il a manifesté un certain intérêt (Marquis, op. cit., pp. 458-459 et les références citées). ac) Une fois qu'un contrat principal valable et définitif a été conclu, il convient d'examiner si les effets que celui-ci est à même de développer sont conformes au mandat qui avait été confié au courtier. Afin de le savoir, il faut avant tout prendre en considération le but poursuivi par le mandant (Marquis, op. cit., p. 345). La loi n'énonce pas expressément l'exigence que le contrat principal conclu grâce à l'activité du courtier soit conforme aux désirs du mandant. Tant la jurisprudence que la doctrine sont pourtant unanimes à considérer que le mandant n'entend pas rémunérer le courtier pour la conclusion d'un contrat quelconque, mais pour la conclusion d'un contrat conforme à ses attentes et lui permettant d'atteindre le but recherché. Le fondement de ce principe découle de la théorie générale des contrats selon laquelle une prestation n'est réputée accomplie que lorsqu'elle est fournie conformément au contrat (art. 97 al. 1 CO). L'exigence de la conformité du contrat principal avec les désirs du mandant relève au fond de la correcte exécution du contrat de courtage (Marquis, op. cit., p. 397). L'examen de l'équivalence entre le contrat désiré par le mandant et le contrat effectivement conclu dépend, d'après le Tribunal fédéral, du but assigné par le courtage à l'activité du courtier, plus particulièrement du résultat économique escompté par le mandant. Ce but doit être recherché dans le contrat de courtage au moyen des méthodes d'interprétation habituelles (Marquis, op. cit., pp. 397-398). D'après la jurisprudence du Tribunal fédéral, le contrat principal doit être économiquement équivalent au contrat désiré par le mandant. L'identité juridique entre le contrat à négocier et celui effectivement mené à chef n'est pas nécessaire. Pour qu'il y ait équivalence économique, il faut que le résultat escompté soit atteint (Rayroux, op. cit., nn. 17-18 ad art. 413 CO et les références citées). Le but économique poursuivi par le mandant doit être reconnaissable pour le courtier. La question de savoir si le but économique poursuivi était reconnaissable doit être déterminée selon les règles de la bonne foi au regard de l'ensemble des circonstances et des usages commerciaux (Rayroux, op. cit., nn. 17-18 ad art. 413 CO et les références citées). Conformément à l'art. 18 CO, il faut rechercher la commune et réelle intention des parties, sans s'arrêter aux expressions ou dénominations inexactes dont elles ont pu se servir (Marquis, op. cit., p. 400). Si le mandat conféré au courtier est général, sans que des conditions précises aient été posées par le mandant, il convient dans le doute d'admettre l'équivalence. Des différences de peu d'importance ne portent pas préjudice au courtier. Ainsi, une différence sans importance du prix conclu par rapport au prix minimal formulé à titre indicatif par le mandant ne prive pas le courtier de son salaire. La situation est différente si les termes du mandat conféré au courtier sont précis. En effet, si le courtier devait reconnaître que les exigences posées par le mandant étaient essentielles et constituaient une condition au versement du salaire – et non seulement des souhaits exprimés par le mandant – l'équivalence économique du contrat conclu sera plus difficile à admettre. Dans ce cas, si l'une de ces conditions n'est pas réalisée, le courtier n'a pas droit à son salaire, même dans l'hypothèse où la différence est minime et, partant, négligeable (Rayroux, op. cit., nn. 17-18 ad art. 413 CO et les références citées) ceci quand bien même son activité a favorisé la conclusion du contrat (ATF 76 II 147, JT 1951 I 39). Cependant, la doctrine a admis que lorsque le mandant et le courtier ont subordonné la naissance du droit au salaire à la condition qu'un prix minimum soit atteint et que ce prix n'est pas atteint mais que la différence est inférieure au montant de la provision promise, le courtier a droit à son salaire diminué de la différence en question (Marquis, op. cit., pp. 400-401 et les références citées). En outre, le mandant ne peut, de mauvaise foi, empêcher la réalisation de la condition qu'il a posée, faute de quoi la fiction de l'art. 156 CO permet de considérer ces conditions comme réalisées (Marquis, op. cit., pp. 413-414). Cette disposition concrétise l'interdiction de l'abus de droit (art. 2 al. 2 CC), en particulier du principe selon lequel personne ne peut exercer un droit qu'il a acquis de manière déloyale (Pichonnaz, Commentaire romaind, Code des obligations I, n. 1 ad art. 156 CO). Les conditions d'application de l'art. 156 CO sont les suivantes: l'existence d'une condition; l'empêchement de l'avènement de la condition, le juge devant au préalable interpréter la portée de la condition en établissant la volonté réelle des parties ou celle qu'il faut retenir en vertu du principe de la confiance (art. 18 CO); le comportement répréhensible d'une personne liée par l'expectative renforcée; la violation des règles de la bonne foi; un lien de causalité adéquate entre le comportement et le défaut de la condition, étant précisé qu'il suffit que le comportement ait favorisé de façon déterminante le défaut de la condition (Pichonnaz, op. cit., nn. 4-16 ad art. 156 CO). Pour que le comportement viole les règles de la bonne foi, il faut qu'à la lumière du principe de la confiance, une partie ait l'obligation d'avoir un certain comportement ou une abstention, en particulier parce qu'elle a créé une attente justifiée de l'autre partie. Tel est notamment le cas pour le Tribunal fédéral, si une partie a un comportement contraire au contenu du contrat conditionnel (ATF 117 II 273 c. 5c, JT 1992 I 290). Lorsqu'une partie ne fait que de retarder ou d'anticiper par son comportement l'avènement de la condition, mais que celle-ci se réalise néanmoins ultérieurement, la fiction posée par l'art. 156 CO n'est pas nécessaire, seule la réparation du dommage provenant du retard intentionnel peut être exigée (art. 41 CO). En revanche, si la temporisation d'une partie empêche l'avènement de la condition, par exemple parce que le terme prévu pour l'avènement de celle-ci est échu, l'art. 156 CO doit s'appliquer (Pichonnaz, op. cit., n. 7 ad art. 156 CO). Le Tribunal fédéral considère que le comportement n'a pas besoin d'être intentionnel, il suffit qu'il viole le principe de la confiance réciproque (ATF 117 II 273 c. 5c, JT 1992 I 290; ATF 113 II 31 c. 2b, JT 1988 I 20; ATF 109 II 20). Il faut toutefois se garder d'interpréter trop largement l'art. 156 CO; en effet, en convenant d'une condition, les parties ont pris en compte l'existence d'un risque qu'elles doivent assumer (Pichonnaz, op. cit., nn. 12-15 ad art. 156 CO). L'attitude de la partie qui a empêché l'avènement de la condition doit être examinée à la lumière de l'ensemble des circonstances de l'affaire considérée, notamment des motifs de l'auteur et du but qu'il poursuit (SJ 1988 I 158). Il suffit d'une attitude incompatible avec le principe de la confiance. Dans tous les cas, il s'agira d'un comportement déloyal (ATF 117 II 273, JT 1992 I 290). L'exigence de la causalité suppose encore d'établir que la condition se serait réalisée sans l'empêchement déloyal. Selon la jurisprudence fédérale, on ne saurait cependant à cet égard exiger que cette preuve soit apportée avec certitude; une haute vraisemblance suffit (TF 4C.281/2005 du 15 décembre 2005 c. 3.5 et les références citées). Le fardeau de la preuve du comportement contraire à la bonne foi, de la relation de causalité entre ce comportement et le défaut de la condition est à charge de la partie au détriment de laquelle le comportement a eu lieu, soit à celle qui se prévaut de la fiction de l'art. 156 CO. En revanche, celui qui, par son comportement, a empêché la condition de se réaliser, peut toujours apporter la preuve que la condition ne se serait de toute manière pas accomplie (TF 4C.281/2005 du 15 décembre 2005 c. 3.5 et les références citées). Il n'y a pas de preuve d'un quelconque dommage à apporter par la partie défavorisée, ni celle d'une volonté d'agir au détriment de l'autre partie (Pichonnaz, op. cit., n. 22 ad art. 156 CO). Le moment déterminant pour l'existence des obligations est celui auquel, selon le cours ordinaire des choses et l'expérience de la vie, la condition aurait été réalisée si la partie s'était comportée loyalement. C'est aussi à partir de ce moment-là que l'obligation devient exigible (Pichonnaz, op. cit., nn. 17-19 ad art. 156 CO). En matière de contrat de courtage, le mandant ne peut donc pas invoquer, quand il l'a lui-même provoqué, le fait que le prix indiqué dans le contrat de courtage n'a pas été atteint, pour faire état de la différence, entre l'affaire envisagée et l'affaire conclue, et frustrer le courtier de son droit au salaire. Toutefois, le simple fait que le mandant invoque une différence de prix dont il est à l'origine et que celle-ci ait pour effet de priver le courtier de son salaire, n'est pas suffisant pour conclure à la mauvaise foi de celui-ci, ni le fait que le mandant conclue avec un tiers à un prix inférieur à la limite posée dans le mandat alors que quelque temps auparavant il avait refusé de conclure avec le même tiers à un prix supérieur. Est en revanche de mauvaise foi, le mandant qui, dans le but de frustrer le courtier de sa commission, conclut la vente juste au-dessous du prix limite, alors que le courtier avait réussi à convaincre le tiers de conclure à un prix supérieur (Marquis, op. cit., pp. 413-414). ad) Sauf convention contraire, le courtier ne perd pas son droit au versement du salaire si le contrat principal est conclu après l'expiration du contrat de courtage. En effet, seul le lien de causalité entre les efforts déployés par le courtier et la conclusion du contrat principal est décisif. Ainsi, le courtier reste au bénéfice des activités causales développées avant l'expiration, la résiliation ou la révocation du mandat. Il a ainsi droit à son salaire, même si l'affaire est conclue par le mandant ultérieurement. De même, l'écoulement du temps ne porte, en principe, pas préjudice aux droits du courtier (Rayroux, op. cit., n. 27 ad art. 413 CO et les références citées). ae) En vertu de l'art. 417 CO, lorsqu'un salaire excessif a été stipulé soit pour avoir indiqué une occasion de conclure un contrat individuel de travail ou une vente d'immeuble, soit pour avoir négocié l'un de ces contrats, il peut être, à la requête du débiteur, équitablement réduit par le juge. Cette disposition est de droit impératif. Les parties ne peuvent pas y déroger conventionnellement. Le mandant peut exercer le droit que lui confère l'art. 417 CO moyennant une déclaration de volonté expresse ou tacite. Il ne s'agit toutefois pas d'un droit formateur, mais uniquement du droit d'introduire une requête qui, le cas échéant, peut aboutir à un jugement formateur. L'application de l'art. 417 CO exige que le mandant l'invoque expressément ou tacitement par-devant le juge, soit en vertu d'une requête ou par voie d'exception. Le mandant n'est pas tenu d'introduire une requête ou de soulever une objection spécifique. Il suffit qu'il formule des conclusions assez étendues, et invoque des faits propres à justifier une réduction à l'appui d'une contestation globale, pour permettre au juge de rendre son jugement (Rayroux, op. cit., nn. 1 et 6 ad art. 417 CO et les références citées). La question de savoir si le salaire du courtier est excessif, ou non, doit être appréciée en comparant les prestations réciproques des parties. Ainsi, la réduction du salaire en vertu de l'art. 417 CO est justifiée si celui-ci est disproportionné par rapport à la prestation du courtier. Pour apprécier si le salaire du courtier est disproportionné, le caractère aléatoire du courtage exige que l'on prenne en compte le succès réalisé par le courtier, et non les activités qu'il a déployées. Pour apprécier le succès du courtier, le juge doit en premier lieu se référer à des critères objectifs, soit aux tarifs ou à l'usage en vigueur. Sur cette base, le montant équitable du salaire peut être déterminé, après ajustement, le cas échéant, au regard de critères subjectifs – par exemple l'importance accordée par le mandant au contrat principal, à la rapidité de la conclusion de l'affaire, etc. Un éventuel ajustement de la réduction en raison de critères subjectifs peut être opéré par le juge en équité conformément à l'art. 4 CC (Rayroux, op. cit., n. 8 ad art. 417 CO et les références citées). Dans tous les cas, le salaire ne devrait pas pouvoir être réduit en dessous de la limite inférieure déterminée par le tarif ou l'usage (Marquis, op. cit., p. 329). b) En l'espèce, le 28 mars 2007, un acte de vente à terme a été conclu entre le défendeur et Q.________ s'agissant de la parcelle no [...], pour le prix de 7'350'000 fr. plus 150'000 fr. pour le mobilier et le transfert de la propriété a été requis le 16 mai 2007. Dès lors que le contrat de vente conclu entre le défendeur et Q.________ est valable en la forme et au fond, il convient d'examiner si les autres conditions permettant à la demanderesse de prétendre au versement d'une commission de la part du défendeur sont réunies. Le contrat de courtage signé par les parties le 1 er septembre 2006 ne prévoyait pas l'exclusivité du mandat à la demanderesse ni des conditions spécifiques relatives aux conditions d'application de l'art. 413 CO. Il mentionnait que le rôle du courtier était d'intervenir comme négociateur, soit de s'entremettre entre le défendeur et l'amateur en vue de faire aboutir la vente ou la promesse de vente, ou comme indicateur, soit d'indiquer au défendeur les amateurs susceptibles d'être intéressés par la conclusion d'un contrat de vente ou d'une promesse de vente s'agissant de la parcelle no [...] seule pour le prix de 9'500'000 fr. ou des parcelles nos [...], [...], [...] et [...] pour le prix de 14'000'000 francs. Dans le cadre de la vente survenue entre le défendeur et Q.________, il ressort de l'instruction que la demanderesse n'est pas intervenue en qualité de courtier négociateur. Dans la mesure où le contrat prévoyait les deux rôles du courtier, la simple indication ou mise en contact des parties constitue une activité suffisante pour justifier le droit au salaire du courtier. La question est de savoir si la demanderesse a rempli son rôle de courtier indicateur et si l'activité développée est en lien de causalité avec la conclusion du contrat de vente. Dès que le mandat de courtage lui a été confié, la demanderesse a préparé un prospectus de vente qu'elle a fait parvenir à quelques clients, dont Q.________, qui fait partie de son fichier clients depuis le 5 mai 2006 et dont le profil mentionne qu'il recherche une propriété de style "ferme rénovée avec grand terrain" d'une valeur maximale de 8'000'000 francs. La photographie de la villa du défendeur ainsi qu'un descriptif ont été exposés dans les vitrines de la demanderesse, mais l'adresse de la propriété n'a pas été mentionnée. Q.________ a déclaré qu'il n'a pas fait le lien entre le descriptif de l'objet et la villa du défendeur qu'il avait partiellement vue en 2002, époque à laquelle il n'était cependant pas intéressé par ce bien immobilier. Mais en 2006, à la recherche d'une maison, Q.________ a pris contact avec la demanderesse et a accepté qu'une visite de la demeure du défendeur soit agendée. Dans la mesure où le défendeur a également, à la même période, confié des mandats à une dizaine d'autres agences immobilières, l'objet mis en vente figurait également dans les prospectus et les vitrines de celles-ci. Si Q.________ a expliqué qu'il avait également consulté quatre ou cinq autres sites internet, il a affirmé avoir obtenu la première indication relative au fait que la maison du défendeur était toujours à vendre par le biais des contacts qu'il a eus avec la demanderesse ainsi qu'un descriptif, et que, s'il a pris contact avec elle, c'est parce que ses parents avaient acquis un bien immobilier par l'intermédiaire de celle-ci trente ans auparavant. Q.________ a ensuite été informé par V.________ que la villa à laquelle il s'intéressait était également dans son portefeuille et que le prix de vente était inférieur à celui indiqué par les autres régies de la place, raison pour laquelle il a annulé la visite prévue par la demanderesse. Par courrier du 28 février 2007, la demanderesse a avisé le défendeur du fait que sa villa avait été proposée à Q.________ pour la somme de 9'500'000 francs. Les parties ayant prévu que le mandat prenait fin le 28 février 2007, mais qu'il pouvait être tacitement reconduit pour une même durée de six mois de six mois en six mois, et aucun avis de résiliation ne figurant au dossier, le contrat de courtage n'avait pas pris fin. Même dans l'hypothèse où il avait pris fin, cet élément ne serait pas déterminant dans la mesure où le courtier reste au bénéfice des activités causales développées avant l'expiration du contrat. Le défendeur n'a pas averti la demanderesse qu'il connaissait déjà Q.________, éventuel acquéreur. D'ailleurs, lorsque la visite fixée par la demanderesse avec Q.________ a été annulée, le défendeur a seulement su qu'il s'agissait d'une visite qui avait été agendée par la demanderesse, sans connaître le nom du client qui devait l'accompagner. Cet élément n'est cependant pas déterminant puisqu'il n'est pas nécessaire que le mandant ne connaisse pas l'amateur indiqué par le courtier. Il suffit qu'au moment où l'indication a été donnée, il ait ignoré que cette personne était désireuse de conclure. S'il ressort du dossier que le défendeur connaissait Q.________, que la demanderesse, par son courrier du 28 février 2007, a communiqué au défendeur une occasion de conclure qui lui était inconnue jusque-là et que la personne indiquée est finalement l'amateur avec lequel le contrat de vente a été conclu, il apparaît que le défendeur ne connaissait en revanche pas l'intérêt de celui-ci pour l'affaire. Si la demanderesse a fixé la date d'une visite de la villa avec Q.________ au début du mois de mars 2007, la visite a finalement eu lieu avec le courtier mandaté par Q.________, V.________, qui l'a encouragé à revoir la villa et à entamer des pourparlers avec le défendeur. Cependant, même si c'est par le biais de ce courtier que les démarches aboutissant au contrat de vente ont été entreprises, le fait que Q.________ ait préféré visiter la maison avec son courtier parce que le prix demandé était moindre ne signifie pas qu'il n'était pas intéressé par l'offre de la demanderesse. L'indication avait été fournie par celle-ci et ce n'était plus qu'une question de négociation. Le fait que Q.________ ait voulu obtenir le meilleur prix possible ne signifie pas qu'il n'aurait pas consenti à payer plus. Il ne le prétend d'ailleurs pas. Le prix mentionné par la demanderesse n'a donc pas eu pour effet d'annuler son intérêt qui aurait été ravivé lorsque son courtier lui a appris qu'un prix inférieur était possible. En définitive, la demanderesse a été la première à indiquer au défendeur et au tiers l'occasion de conclure. C'est bien sur la base de l'indication qu'elle a initialement fournie que les parties au contrat principal sont entrées en relation et ont conclu le marché. En outre, il n'y a pas eu de rupture du lien psychologique entre l'activité de la demanderesse et la conclusion de l'affaire. Le caractère déterminant de son intervention est donc établi et une commission lui est due. La condition de l'existence d'un lien de causalité entre l'activité du courtier et la conclusion du contrat de vente étant réalisée, il y a lieu d'examiner la condition de l'équivalence entre le contrat escompté par le défendeur et le contrat finalement conclu. En l'espèce, le contrat de courtage du 1 er septembre 2006 prévoyait que le prix de vente demandé par le défendeur n'avait qu'une valeur indicative et que le courtier aurait droit à sa commission fixée en pourcents du prix de vente – 3% sur le prix de vente du bien immobilier, selon le tarif adopté par la Société vaudoise des régisseurs et courtiers en immeubles et en fonds de commerce, et 2% sur le prix de vente du mobilier – même si l'objet était vendu à un prix inférieur. Ainsi, même s'il existe une différence de 2'150'000 fr. entre l'affaire escomptée confiée par le défendeur à la demanderesse et le contrat de vente conclu, la demanderesse a droit à une commission qu'il convient de fixer à 245'328 fr., soit 220'500 fr. (7'350'000 fr. x 3%) plus 7'500 fr. (150'000 fr. x 5%), moins 17'328 fr. (228'000 fr. x 7,6%), les deux montants étant soumis à la TVA qui est facturée en sus au mandant conformément au contrat de courtage. Il n'y a pas lieu de réduire le montant de la commission, dès lors que le pourcentage appliqué est conforme au tarif usuellement pratiqué. En outre, V.________ n'ayant pas été mandaté par le défendeur, mais par Q.________, et ayant été rémunéré par ce dernier, il n'y a pas lieu de réduire ce montant pour le motif que le mandant aurait désigné plusieurs courtiers. La demanderesse a adressé sa facture au défendeur par courrier du 7 février 2008, reçu au plus tôt le 8 février 2008, et lui a imparti un délai de dix jours afin de régler le montant mentionné. La somme de 245'328 fr. porte donc intérêt à 5% l'an dès le 19 février 2008. IV. a) La demanderesse a également conclu à ce qu'elle ne soit pas reconnue débitrice du défendeur de quelque montant que ce soit, en particulier du montant de 250'000 fr. faisant l'objet du commandement de payer notifié par celui-ci, et que la poursuite y relative soit radiée. Le 2 avril 2008, le défendeur a en effet fait notifier un commandement de payer à la demanderesse pour une somme de 250'000 fr. avec intérêt à 5% l'an dès le 19 mars 2008 et dont la cause de l'obligation serait "dommages et intérêts pour notification abusive de commandements de payer et acte interruptif de prescription." Cette démarche du défendeur fait suite à la réquisition de poursuite du 26 février 2008 de la demanderesse qui lui a fait notifier un commandement de payer pour un montant de 306'660 fr. avec intérêt à 5% l'an dès le 18 février 2008. Par réponse du 10 octobre 2008, le défendeur a reconventionnellement conclu à ce que la demanderesse soit reconnue sa débitrice d'un montant de 250'000 francs. Cependant, à l'audience préliminaire du 17 septembre 2009, le défendeur a retiré sa conclusion reconventionnelle et les allégués relatifs au montant qu'il invoquait reconventionnellement. La demanderesse n'ayant pas modifié ses conclusions II et III à la suite de ce retrait, il convient d'examiner ces prétentions. b) ba) La demanderesse exerce l'action générale en constatation de l'inexistence de la créance déduite en poursuite. Cette action, si elle est admise, a pour effet d'interdire sa communication à des tiers (art. 8a al. 3 let. a LP). Les actes des offices des poursuites et faillites étant une source de renseignements importante sur la solvabilité des personnes, leur consultation présente un intérêt pour les créanciers eux-mêmes (possibilité de participer à une saisie; utilité de continuer la poursuite), pour les autorités (autorisation d'exercer certaines professions) et pour des tiers désireux de connaître la solvabilité d'un partenaire commercial actuel ou futur (Dallèves, op. cit, n. 1 ad art. 8a LP). L'action suppose pour le demandeur prétendument débiteur, un intérêt digne de protection à la constatation immédiate de l'inexistence de la dette. Cet intérêt n'est pas nécessairement juridique; un intérêt de fait suffit. Cette condition est remplie lorsqu'une incertitude plane sur les relations juridiques des parties et qu'une constatation judiciaire pourrait l'éliminer, du moins si l'incertitude, en se prolongeant, entrave la partie demanderesse dans sa liberté d'action et ne peut plus lui être imposée (ATF 120 II 20 c. 3a, JT 1995 I 130). L'intérêt du créancier doit être mis en balance avec celui du prétendu débiteur à ne pas laisser se prolonger indéfiniment l'incertitude qui résulte de l'interruption de la prescription (ATF 110 II 352 c. 2a, JT 1985 I 354). Pour juger de l'admissibilité de l'action en constatation négative, il est ainsi tenu compte des intérêts opposés du créancier et du débiteur. A elle seule, la poursuite ne saurait justifier une action en constatation du poursuivi, laquelle suppose la présence de circonstances particulières s'ajoutant au fait de la poursuite. Ces circonstances doivent être admises dans la mesure où l'inscription du registre des poursuites porte atteinte au crédit et à la réputation du poursuivi, quoi qu'il en soit du bien-fondé de la poursuite intentée. Le poursuivi pourrait alors avoir un intérêt majeur à obtenir, par une action en constatation de l'inexistence de la créance déduite en poursuite, un jugement dont il ressort que celle-ci est sans fondement. Si le créancier veut éviter une telle action, il doit démontrer qu'il a de bonnes raisons de ne pas entrer en matière sur le bien-fondé de sa prétention et d'empêcher ainsi un procès prématuré; le cas échéant, il appartient alors au poursuivi de justifier d'un intérêt supérieur à obtenir un jugement en constatation (ATF 120 II 20 c. 3b). bb) En l'espèce, la demanderesse prétend que le dommage sur lequel le défendeur fonde sa créance est inexistant et que le procédé consistant pour celui-ci à lui faire notifier un commandement de payer dans de telles circonstances est inadmissible. Aucun élément relatif à la créance invoquée par le défendeur à l'encontre de la demanderesse n'est allégué par celle-ci. En outre, les allégués du défendeur relatifs à la conclusion reconventionnelle dont la conclusion en constatation négative de droit fait l'objet ont été retirés. Aucune des parties ne fait d'ailleurs référence à un quelconque argument concernant ces prétentions dans leurs mémoires de droit. Selon l'art. 4 CPC-VD (code de procédure civile vaudoise du 14 décembre 1966), applicable en vertu de l'art. 404 al. 1 CPC (code de procédure civile du 19 décembre 2008; RS 272) entré en vigueur le 1 er janvier 2011 et selon lequel les procédures en cours à son entrée en vigueur sont régies par l'ancien droit de procédure jusqu'à la clôture de l'instance, le juge ne peut fonder son jugement sur d'autres faits que ceux qui ont été allégués dans l'instance et qui ont été soit admis par les parties, soit établis au cours de l'instruction selon les formes légales (al. 1). Toutefois, il peut tenir compte de faits notoires, non particuliers à la cause, ainsi que de faits patents, implicitement admis par les parties et non allégués par une inadvertance manifeste (al. 2). Le législateur a ainsi laissé aux parties la responsabilité d'articuler complètement les faits, les seuls tempéraments au principe de libre allégation étant ceux prévus à l'al. 2 de cette disposition (BGC 1996, p. 682). Ce principe est notamment applicable en procédure ordinaire devant la Cour civile (art. 257 CPC-VD). En outre, selon la jurisprudence vaudoise, les allégués retirés disparaissent de la procédure, de telle sorte que, même admis, ils deviennent juridiquement inexistants et ne peuvent être pris en considération pour la solution du litige (JT 1937 IV 31). Dans le cas présent, les seuls allégués relatifs à la résolution de la question soulevée par la demanderesse ayant été retirés de la procédure par le défendeur, l'état de fait ne permet pas d'admettre l'existence d'une créance en réparation du dommage prétendu par le défendeur à l'encontre de la demanderesse. Par conséquent, la poursuite no 1254256 de l'Office des poursuites et faillites de Lausanne-Est est sans fondement. De plus, le sort de la cause démontre que la poursuite intentée par la demanderesse était fondée. 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entièrement gain de cause, la demanderesse M.________ SA a droit à des dépens, à la charge du défendeur A.Z.________, qu'il convient d'arrêter à 32'320 fr., savoir : a) 20'000 fr. à titre de participation aux honoraires de son conseil; b) 1'000 fr. pour les débours de celui‑ci; c) 11'320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