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143 vom 6. Oktober 2011</w:t>
      </w:r>
    </w:p>
    <w:p>
      <w:r>
        <w:t>VD Tribunal cantonal, 2011-10-06, FR</w:t>
      </w:r>
    </w:p>
    <w:p>
      <w:r>
        <w:rPr>
          <w:b/>
        </w:rPr>
        <w:t xml:space="preserve">Quelle: </w:t>
      </w:r>
      <w:r>
        <w:t>https://mcp.opencaselaw.ch/entscheid/vd_findinfo_Jug___2011___143</w:t>
      </w:r>
    </w:p>
    <w:p>
      <w:r>
        <w:t>FR: VD_FINDINFO Jug / 2011 / 143 du 6 octobre 2011</w:t>
      </w:r>
    </w:p>
    <w:p>
      <w:r>
        <w:t>IT: VD_FINDINFO Jug / 2011 / 143 del 6 ottobre 2011</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Erwägungen</w:t>
      </w:r>
    </w:p>
    <w:p>
      <w:r>
        <w:rPr>
          <w:b/>
        </w:rPr>
        <w:t>E. 6</w:t>
      </w:r>
    </w:p>
    <w:p>
      <w:r>
        <w:t>a) Il faut par ailleurs déterminer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les années 2010 et 2011. b) Si, comme en l'espèce, c'est le juge de la prévoyance selon l'art. 142 aCC qui fixe le montant de la prestation de sortie, l'intérêt moratoire est dû dès le 31 ème jour suivant l'entrée en force du jugement de cette autorité (cf. arrêt B 105/02 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de dite loi; BPP n° 95 du 22 novembre 2006, ch. 563, spéc. pp. 11 ss.). c) Ainsi, en cas de demeure, soit à compter du 31 ème jour dès l'entrée en force du présent jugement, le Fonds de prévoyance Z.________ et la Fondation de libre passage K.________ seront également débitrices d'un intérêt moratoire de 3 % l'an, en sus du montant à transférer augmenté de l'intérêt compensatoire calculé conformément à ce qui précède, pour autant que le règlement de prévoyance ne prévoie pas un taux supérieur (cf. arrêt B 105/02 déjà cité, consid. 3.3).</w:t>
      </w:r>
    </w:p>
    <w:p>
      <w:r>
        <w:rPr>
          <w:b/>
        </w:rPr>
        <w:t>E. 7</w:t>
      </w:r>
    </w:p>
    <w:p>
      <w:r>
        <w:t>a) Cela étant, ordre doit être donné : - au Fonds de prévoyance Z.________, de prélever sur le compte de libre passage ouvert au nom de B.F.________ la somme de 795 fr. 10 en capital, valeur au 28 avril 2010, plus un intérêt compensatoire d'au moins 2 % l'an du 28 avril 2010 jusqu'au jour du transfert ou de la demeure, et de verser ce montant en faveur de A.F.________, sur le compte de libre passage ouvert auprès de la Fondation de prévoyance G.________, - à la Fondation de libre passage K.________, de prélever sur le compte de libre passage ouvert au nom de B.F.________, la somme de 251 fr. 10 en capital, valeur au 28 avril 2010, plus un intérêt compensatoire d'au moins 2 % l'an du 28 avril 2010 jusqu'au jour du transfert ou de la demeure, et de verser ce montant en faveur de A.F.________, sur le compte de libre passage ouvert auprès de la Fondation de prévoyance G.________. b) En outre, en cas de retard dans le transfert de la prestation de libre passage à transférer calculée comme indiqué ci-dessus : - le Fonds de prévoyance Z.________ versera sur le compte de libre passage ouvert auprès de la Fondation de prévoyance G.________, en faveur de A.F.________, un intérêt moratoire (d'au moins 3 % l'an) sur le montant à transférer (795 fr. 10), qui court dès le 31 ème jour suivant l'entrée en force du présent jugement, ou, en cas de recours au Tribunal fédéral, dès que l'arrêt de la Haute Cour aura été rendu, - la Fondation de libre passage K.________ versera sur le compte de libre passage ouvert auprès de la Fondation de prévoyance G.________, en faveur de A.F.________, un intérêt moratoire (d'au moins 3 % l'an) sur le montant à transférer (251 fr. 10), qui court dès le 31 ème jour suivant l'entrée en force du présent jugement, ou, en cas de recours au Tribunal fédéral, dès que l'arrêt de la Haute Cour aura été rendu.</w:t>
      </w:r>
    </w:p>
    <w:p>
      <w:r>
        <w:rPr>
          <w:b/>
        </w:rPr>
        <w:t>E. 8</w:t>
      </w:r>
    </w:p>
    <w:p>
      <w:r>
        <w:t>Il n'est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