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136 vom 20. Januar 2011</w:t>
      </w:r>
    </w:p>
    <w:p>
      <w:r>
        <w:t>VD Tribunal cantonal, 2011-01-20, FR</w:t>
      </w:r>
    </w:p>
    <w:p>
      <w:r>
        <w:rPr>
          <w:b/>
        </w:rPr>
        <w:t xml:space="preserve">Quelle: </w:t>
      </w:r>
      <w:r>
        <w:t>https://mcp.opencaselaw.ch/entscheid/vd_findinfo_Jug___2011___136</w:t>
      </w:r>
    </w:p>
    <w:p>
      <w:r>
        <w:t>FR: VD_FINDINFO Jug / 2011 / 136 du 20 janvier 2011</w:t>
      </w:r>
    </w:p>
    <w:p>
      <w:r>
        <w:t>IT: VD_FINDINFO Jug / 2011 / 136 del 20 gennaio 2011</w:t>
      </w:r>
    </w:p>
    <w:p>
      <w:pPr>
        <w:pStyle w:val="Heading2"/>
      </w:pPr>
      <w:r>
        <w:t>Regeste</w:t>
      </w:r>
    </w:p>
    <w:p>
      <w:r>
        <w:t>TRAVAIL D'INTÉRÊT GÉNÉRAL, PEINE PRIVATIVE DE LIBERTÉ, CONVERSION DE LA PEINE, DÉTOURNEMENT D'OBJETS SOUS MAIN DE JUSTICE | 169 CP, 37 CP, 41 al. 1 CP</w:t>
      </w:r>
    </w:p>
    <w:p>
      <w:pPr>
        <w:pStyle w:val="Heading2"/>
      </w:pPr>
      <w:r>
        <w:t>Erwägungen</w:t>
      </w:r>
    </w:p>
    <w:p>
      <w:r>
        <w:rPr>
          <w:b/>
        </w:rPr>
        <w:t>E. 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Interjeté dans les forme et délai légaux par une partie ayant la qualité pour recourir (art. 382 al. 1 CPP), l'appel d'D.________, partie non assistée, est suffisamment motivé au sens de l’art. 399 al. 3 et 4 CPP, et est, partant, recevable. Il convient donc d'entrer en matière sur le fond.</w:t>
      </w:r>
    </w:p>
    <w:p>
      <w:r>
        <w:rPr>
          <w:b/>
        </w:rPr>
        <w:t>E. 2</w:t>
      </w:r>
    </w:p>
    <w:p>
      <w:r>
        <w:t>L'appelant sollicite le réexamen du jugement et une réduction de sa peine privative de liberté. Il ne conteste toutefois pas sa culpabilité qui, comme on le verra, ne peut à l'évidence pas être niée. 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(Corboz, Les infractions en droit suisse, vol. I, Berne 2002, 2 ème éd., n. 2 ad art. 169 CP, p. 511; Stratenwerth, Schweizerisches Strafrecht, Besonderer Teil I, Berne 1995, n. 34 ad art. 169 CP, p. 431). L'art. 169 CP s'applique également au salaire futur provenant d'un emploi et au revenu futur issu d'une activité professionnelle indépendante (ATF 91 IV 69; ATF 96 IV 111 c.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 2). Si les gains du débiteur ont été inférieurs aux prévisions, le juge pénal, en suivant les règles de la LP, doit déterminer lui-même dans quelle mesure le débiteur pouvait et devait respecter la saisie (ATF 96 IV 111 c. 3; TF 6P.67/2004 du 6 août 2004).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il suffit que l'acte soit de nature à entraîner pour eux un préjudice, même temporaire, et qu'il y ait mise en danger (ATF 119 IV 135, JT 1994 I 802, JT 1995 IV 121; Corboz, op. cit., n. 18 ad art. 169 CP). L'infraction est intentionnelle, mais le dol éventuel suffit (ATF 121 IV 357 c. 2). Il faut donc que l'auteur sache que la valeur patrimoniale a été mise sous main de justice ou qu'il accepte cette éventualité (Corboz, op. cit., n. 21 ad art. 169 CP). Il faut encore que l'auteur ait la volonté ou accepte de nuire aux créanciers (ATF 121 IV 357 c. 2; Corboz, op. cit., n. 24 ad art. 169 CP). Dans le cas d'espèce, l'appelant soutient que le montant de ses ressources estimé à 5'000 fr. et retenu à plusieurs endroits dans le jugement, est un revenu brut, dont à déduire les frais généraux. Ce n'est pourtant pas ce qu'il résulte des pièces au dossier puisque la détermination du minimum d'existence effectué par l'Office des poursuites fait état d'un revenu mensuel net de 5'017 fr. 49. Dans la mesure où, par définition, l'Office des poursuites tient compte des charges dans le calcul du minimum vital, à la condition toutefois que celles-ci soient payées, cette question importe peu. Ce qui compte, ce n'est pas de connaître quels montants ont été pris en compte dans les calculs de l'Office des poursuites, mais plutôt de savoir si le montant de la saisie, tel qu'il résulte de ces calculs, a ou non été payé. Or, il résulte du procès-verbal de distraction que l'appelant n'a absolument rien versé à ses créanciers. En fait, sauf à prétendre que ses gains n'étaient que bruts, l'appelant ne reconnaît ni n'établit avoir payé d'autres charges que celles retenues par l'Office des poursuites, ni même ne soutient que les revenus auraient été inférieurs. Par ailleurs, s'il résulte bien du jugement que ce dernier loue un véhicule 970 fr. par mois, il n'est toutefois pas avéré que ce montant ait été payé. Ainsi, il ne paraît pas faire de doute que les conditions d'application de l'art. 169 CP sont remplies. En effet, l'appelant n'a pas contesté les calculs de l'Office des poursuites, n'a rien versé à ses créanciers, admettant du reste dans sa déclaration d'appel avoir "fait l'autruche" , ni établi avoir eu d'autres charges qui auraient justifié que le juge pénal se demande si le débiteur pouvait vraiment respecter la saisie.</w:t>
      </w:r>
    </w:p>
    <w:p>
      <w:r>
        <w:rPr>
          <w:b/>
        </w:rPr>
        <w:t>E. 3</w:t>
      </w:r>
    </w:p>
    <w:p>
      <w:r>
        <w:t>Il convient d'examiner la question de la quotité de la peine, que l'appelant tient comme trop sévère.</w:t>
      </w:r>
    </w:p>
    <w:p>
      <w:r>
        <w:rPr>
          <w:b/>
        </w:rPr>
        <w:t>E. 3.1</w:t>
      </w:r>
    </w:p>
    <w:p>
      <w:r>
        <w:t>Selon l'art. 47 CP, le juge fixe la peine d'après la culpabilité de l'auteur. Il prend en considération les antécédents et la situation personnelle de ce dernier ainsi que l'effet de la peine sur son avenir (al. 1). L'art. 47 al. 1 CP fixe le principe et reprend le critère des antécédents et de la situation personnelle. Cette disposition enjoint encore au juge de prendre en considération l'effet de la peine sur l'avenir du condamné. Cet aspect de prévention spéciale ne permet toutefois que des corrections marginales, la peine devant toujours rester proportionnée à la faute (TF 6B_14/2007 du 17 avril 2007 c. 5.2).</w:t>
      </w:r>
    </w:p>
    <w:p>
      <w:r>
        <w:rPr>
          <w:b/>
        </w:rPr>
        <w:t>E. 3.2</w:t>
      </w:r>
    </w:p>
    <w:p>
      <w:r>
        <w:t>Au regard de la récidive spéciale caractérisée, l'appelant ayant été condamné à cinq reprises entre 2000 et 2007 pour des infractions du même type, dont il en connaissait les tenants et aboutissants, force est de constater que la première juge n'a pas abusé de son large pouvoir d'appréciation en prononçant une peine de cinq mois. Cette durée doit donc être confirmée.</w:t>
      </w:r>
    </w:p>
    <w:p>
      <w:r>
        <w:rPr>
          <w:b/>
        </w:rPr>
        <w:t>E. 4</w:t>
      </w:r>
    </w:p>
    <w:p>
      <w:r>
        <w:t>Est question de savoir encore si c'est à bon droit que la première juge a condamné l'appelant à une peine privative de liberté.</w:t>
      </w:r>
    </w:p>
    <w:p>
      <w:r>
        <w:rPr>
          <w:b/>
        </w:rPr>
        <w:t>E. 4.1</w:t>
      </w:r>
    </w:p>
    <w:p>
      <w:r>
        <w:t>A teneur de l'art. 41 al. 1 CP, le juge ne peut prononcer une peine privative de liberté ferme de moins de six mois que si les conditions du sursis à l'exécution de la peine (art. 42 CP) ne sont pas réunies et s'il y a lieu d'admettre que ni une peine pécuniaire ni un travail d'intérêt général ne peuvent être exécutés.</w:t>
      </w:r>
    </w:p>
    <w:p>
      <w:r>
        <w:rPr>
          <w:b/>
        </w:rPr>
        <w:t>E. 4.1.1</w:t>
      </w:r>
    </w:p>
    <w:p>
      <w:r>
        <w:t>La première juge, tenant compte du passé judiciaire de l'appelant, de son absence manifeste de bonne volonté, ce dernier n'ayant jamais tenté de rencontrer l'un ou l'autre des créanciers pour expliquer sa situation dans le but, par exemple, d'obtenir une remise de dette, a exclu l'application du sursis. Du reste, eu égard à l'art. 42 al. 2 CP, la peine prononcée ne pouvait être que ferme. Le seul fait que l'appelant fasse amende honorable et qu'il soit désormais retraité ne suffit pas à constituer un pronostic particulièrement favorable au sens de cette disposition.</w:t>
      </w:r>
    </w:p>
    <w:p>
      <w:r>
        <w:rPr>
          <w:b/>
        </w:rPr>
        <w:t>E. 4.1.2</w:t>
      </w:r>
    </w:p>
    <w:p>
      <w:r>
        <w:t>Il convient dès lors d'examiner si une peine pécuniaire ou un travail d'intérêt général doit être prononcé en lieu et place d'une peine privative de liberté, la première juge n'ayant pas motivé de manière circonstanciée cette question (art. 50 CP).</w:t>
      </w:r>
    </w:p>
    <w:p>
      <w:r>
        <w:rPr>
          <w:b/>
        </w:rPr>
        <w:t>E. 4.1.2.1</w:t>
      </w:r>
    </w:p>
    <w:p>
      <w:r>
        <w:t>Pour choisir entre une peine pécuniaire et un travail d’intérêt général lorsque les conditions de l’une et de l’autre sont remplies, le juge dispose d’un large pouvoir d’appréciation. Il doit toutefois motiver sa décision en expliquant son choix. Une peine privative de liberté ferme de moins de six mois n'entre qu'exceptionnellement en ligne de compte. En édictant l'art. 41 CP, le législateur a institué un ordre légal de priorité en faveur des sanctions non privatives de liberté (ATF 6B_541/2007 du 13 mai 2008, c. 4.2.2).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82, précité, c. 6.5.1).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(art. 34 al. 2 CP). Même mauvaise ou assistée, la situation économique de l'auteur ne permet pas de justifier le prononcé d'une peine privative de liberté au lieu d'une peine pécuniaire. Admettre le contraire irait à l'encontre de la volonté du législateur. La situation économique précaire de l'intéressé ne peut entrer en ligne de compte que dans le calcul du montant du jour-amende. En outre, des facilités de paiement peuvent être accordées (TF 6B_845/2009 du 11 janvier 2010, c. 1.3). Lorsqu'il est exceptionnellement justifié de l'admettre dans le cas d'espèce, le tribunal est appelé à décider si un travail d'intérêt général peut être ordonné à la place d'une courte peine privative de liberté (TF 6B_541/2007 du 13 mai 2008, c. 4.2.2). Le travail d'intérêt général est une sanction axée sur la prévention individuelle dans une perspective sociale constructive. Il tend à la privation de loisirs en tenant compte de l'expiation et de la réparation (Brägger, Basler Kommentar, Strafrecht I, 2e éd., Bâle 2007, remarques préliminaires à l'art. 37 CP, n. 21/26 s. et art. 37 CP, n. 6).</w:t>
      </w:r>
    </w:p>
    <w:p>
      <w:r>
        <w:rPr>
          <w:b/>
        </w:rPr>
        <w:t>E. 4.1.2.2</w:t>
      </w:r>
    </w:p>
    <w:p>
      <w:r>
        <w:t>En l'espèce, il faut admettre qu'une peine pécuniaire reviendrait à soustraire encore de l'argent à l'appelant, ce au détriment de ses créanciers. En outre, s'il s'avère que la détermination du minimum vital ne constitue pas le un critère déterminant pour l'évaluation de la quotité du jour-amende (cf. ATF 134 IV 97, c. 5.2.3), une situation d'indigence n'excluant pas une peine pécuniaire (TF 6B_414/2010), il y a toutefois lieu d'en tenir compte in casu, ce dans la mesure où lors de l'audience du 5 juillet 2011, l'appelant a d'emblée indiqué être prêt à accepter un travail d'intérêt général.</w:t>
      </w:r>
    </w:p>
    <w:p>
      <w:r>
        <w:rPr>
          <w:b/>
        </w:rPr>
        <w:t>E. 4.1.2.3</w:t>
      </w:r>
    </w:p>
    <w:p>
      <w:r>
        <w:t>Aux termes de l’art. 37 al. 1 CP, le juge peut, à la place d’une peine privative de liberté de moins de six mois ou d’une peine pécuniaire de cent huitante jours-amende au plus, ordonner, avec l’accord de l’auteur, un travail d’intérêt général de sept cent vingt heures au plus. En principe, toute personne dont la culpabilité justifierait une condamnation à six mois de privation de liberté ou à 180 jours-amende au plus peut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précité, c. 6.3.2).</w:t>
      </w:r>
    </w:p>
    <w:p>
      <w:r>
        <w:rPr>
          <w:b/>
        </w:rPr>
        <w:t>E. 4.1.2.4</w:t>
      </w:r>
    </w:p>
    <w:p>
      <w:r>
        <w:t>En l'espèce, D.________ est en bonne santé habituelle. Il a toujours travaillé de manière régulière et perçoit encore actuellement certains revenus de son ancienne activité. Il ressort du jugement que ce dernier a appris le métier de cuisinier avant de devenir courtier indépendant dans la remise d'établissements publics. Par ailleurs, nonobstant son âge, il se dit prêt et motivé à accepter un travail d'intérêt général. Par conséquent, il paraît adéquat d'ordonner une telle peine à son encontre d'une durée égale à la peine privative de liberté de cinq mois, soit 150 jours, qui avait été prononcée par la première juge. En vertu de l'art. 39 al. 2 CP qui énonce que quatre heures de travail d'intérêt général correspondent à un jour de peine privative de liberté, le recourant est condamné à six cents heures de travail d'intérêt général. L'appelant étant désormais retraité, le délai de deux ans fixé à l'art. 38 CP pour accomplir ce travail pourra ainsi être respecté.</w:t>
      </w:r>
    </w:p>
    <w:p>
      <w:r>
        <w:rPr>
          <w:b/>
        </w:rPr>
        <w:t>E. 5</w:t>
      </w:r>
    </w:p>
    <w:p>
      <w:r>
        <w:t>En définitive, l'appel d'D.________ doit être partiellement admis en ce sens qu'il est condamné pour détournement de valeurs patrimoniales mises sous main de justice, à une peine de travail d'intérêt général de six cents heures. L'appelant obtenant partiellement gain de cause (art. 428 al. 1 CPP), les frais de procédure d'appel, arrêtés en application des art. 21 et 23 TFJP, sont mis par moitié à sa charge, le solde restant à celle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