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133 vom 4. April 2011</w:t>
      </w:r>
    </w:p>
    <w:p>
      <w:r>
        <w:t>VD Tribunal cantonal, 2011-04-04, FR</w:t>
      </w:r>
    </w:p>
    <w:p>
      <w:r>
        <w:rPr>
          <w:b/>
        </w:rPr>
        <w:t xml:space="preserve">Quelle: </w:t>
      </w:r>
      <w:r>
        <w:t>https://mcp.opencaselaw.ch/entscheid/vd_findinfo_Jug___2011___133</w:t>
      </w:r>
    </w:p>
    <w:p>
      <w:r>
        <w:t>FR: VD_FINDINFO Jug / 2011 / 133 du 4 avril 2011</w:t>
      </w:r>
    </w:p>
    <w:p>
      <w:r>
        <w:t>IT: VD_FINDINFO Jug / 2011 / 133 del 4 aprile 2011</w:t>
      </w:r>
    </w:p>
    <w:p>
      <w:pPr>
        <w:pStyle w:val="Heading2"/>
      </w:pPr>
      <w:r>
        <w:t>Regeste</w:t>
      </w:r>
    </w:p>
    <w:p>
      <w:r>
        <w:t>APPRÉCIATION DES PREUVES, LIBRE APPRÉCIATION DES PREUVES, IN DUBIO PRO REO | 126 CPP (CH), 398 al. 3 let. a CPP (CH), 398 al. 3 let. b CPP (CH)</w:t>
      </w:r>
    </w:p>
    <w:p>
      <w:pPr>
        <w:pStyle w:val="Heading2"/>
      </w:pPr>
      <w:r>
        <w:t>Erwägungen</w:t>
      </w:r>
    </w:p>
    <w:p>
      <w:r>
        <w:rPr>
          <w:b/>
        </w:rPr>
        <w:t>E. 1</w:t>
      </w:r>
    </w:p>
    <w:p>
      <w:r>
        <w:t>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constatation incomplète ou erronée des faits (let. b); inopportunité (let. c).</w:t>
      </w:r>
    </w:p>
    <w:p>
      <w:r>
        <w:rPr>
          <w:b/>
        </w:rPr>
        <w:t>E. 3</w:t>
      </w:r>
    </w:p>
    <w:p>
      <w:r>
        <w:t>N.________ soutient avoir été victime d'une erreur judiciaire. Il ressort de ses moyens qu'il conteste le raisonnement par lequel les premiers juges ont acquis la conviction qu'il avait commis les infractions qui lui étaient reprochées.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3.2</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Code de procédure pénale suisse, Commentaire romand, Bâle 2011,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3.3</w:t>
      </w:r>
    </w:p>
    <w:p>
      <w:r>
        <w:t>Le prévenu fait valoir que personne ne l'aurait vu prendre de la monnaie ou des rouleaux. Il soutient aussi qu'il était rarement seul lors du comptage de la monnaie et qu'on pouvait l'observer depuis un bureau adjacent. Il n'a pas été retenu par les premiers juges que N.________ aurait été vu alors qu'il prenait de la monnaie ou des rouleaux, de telle sorte que cet argument tombe à faux. S'agissant de l'opération de comptage et de mise en rouleau de l'argent récolté, N.________ effectuait le tri, pour les six premiers mois, dans un bureau dans lequel travaillait R.________, puis durant l'année suivante, dans un bureau porte ouverte adjacent à celui occupé par X.________. Durant les six derniers mois, il opérait le tri dans un bureau au sous-sol (jgt, p. 3). X.________ a déclaré que le bureau était parfois occupé par une autre personne, qu’il pouvait y avoir du va-et-vient à cause de la photocopieuse mais qu’elle ne voyait pas le prévenu pendant l’opération de comptage. A cet égard, il sied de préciser que l'occupante du bureau adjacent, soit X.________ ne travaillait pas le vendredi, jour de l'opération de comptage (jgt, p. 7). En outre, selon T.________, N.________ donnait toute satisfaction durant son activité et il avait une totale confiance en lui de telle sorte que personne ne le surveillait et il effectuait sa tâche seul (dossier, procès-verbal d'audition n° 2, p. 2). Au vu de ce qui précède, il est établi que N.________ n'était pas sous surveillance lorsqu'il procédait au tri de la monnaie des horodateurs à l'aide d'une machine ainsi qu'à sa mise en rouleaux. S'il est exact que quelqu’un pouvait entrer dans le bureau et, de surcroît, que la porte avec le bureau adjacent était entrouverte, la situation des lieux n’excluait nullement que le prévenu puisse emporter des pièces, de surcroît conditionnées en rouleaux, sans être vu. L'appel est infondé sur ce point.</w:t>
      </w:r>
    </w:p>
    <w:p>
      <w:r>
        <w:rPr>
          <w:b/>
        </w:rPr>
        <w:t>E. 3.4</w:t>
      </w:r>
    </w:p>
    <w:p>
      <w:r>
        <w:t>L'appelant fait valoir que la clé des horodateurs était accessible à tout un chacun et qu'un tiers aurait pu la prendre et vider les horodateurs. Il est exact que la clé ouvrant l’armoire où se trouvait le trousseau contenant les clés des horodateurs se trouvait dans un tiroir non fermé à clé du bureau de R.________. Il s'agissait cependant du bureau de la responsable, qui a d'ailleurs précisé que son bureau était fermé à clé lorsque personne ne s’y trouvait (cf. jgt, p. 9). En outre, l'hypothèse de l'intervention d'un tiers soulevée par l'appelant pourrait revêtir une certaine crédibilité si seul un nombre limité de détournements de monnaie avait été commis. Or, en l'espèce, il s'agit de détournements systématiques, quasi-hebdomadaires, sur une durée d'au moins deux ans. Dans ces conditions, la théorie selon laquelle un tiers aurait pu prendre les clés dans le bureau de R.________, vider partiellement les horodateurs, disparaître avec la monnaie et remettre les clés sans être vu lors de ces opérations n’est pas plausible. Elle l’est d’autant moins que l’horodateur de l'[...] délivrait une quittance au moment de la récolte de la monnaie, de telle sorte que chaque ouverture de l'horodateur était comptabilisée. A supposer donc qu'un tiers ait subtilisé une partie de la recette, les quittances délivrées et mentionnées sur la pièce 18/2 n'auraient pas pu être d’un montant aussi important. Enfin, comme l'ont pertinemment relevé les premiers juges, si un tiers s’était donné la peine de substituer les clés des horodateurs, il est improbable qu’il se soit limité à prélever une partie seulement de la recette et qu’il ait réitéré cette opération régulièrement au vu des risques encourus. En réalité, l’opération de substitution de monnaie des horodateurs est survenue après la mise sous rouleaux, opération dont était chargé le prévenu. Celui‑ci a d'ailleurs précisé qu'il ne pensait pas que l'argent avait disparu alors qu'il était dans la caisse entre 13h00 et 14h00 et que l'argent restait toujours près de lui (dossier, procès-verbal d'audition n° 4, p. 2). En définitive, c'est à juste titre que le tribunal a écarté l'hypothèse de l'intervention d'un tiers et a considéré que l'opération de substitution de monnaie des horodateurs se faisait après la mise en rouleaux.</w:t>
      </w:r>
    </w:p>
    <w:p>
      <w:r>
        <w:rPr>
          <w:b/>
        </w:rPr>
        <w:t>E. 3.5</w:t>
      </w:r>
    </w:p>
    <w:p>
      <w:r>
        <w:t>L'appelant relève qu'il a le plus souvent été remplacé lors de ses vacances. A la lecture du dossier, il apparaît que N.________ revenait régulièrement durant ses vacances notamment quand il ne prenait qu'une semaine, pour effectuer la paperasserie, le comptage de l'argent, ses remplaçants n'étant pas compétents pour effectuer ce travail (jgt, p. 3). En revanche, lorsqu'il prenait deux semaines de vacances, il ne revenait pas car ses remplaçants étaient formés pour faire (jgt, p. 3). Il est ainsi établi que N.________ avait l'habitude de revenir lors d'une partie de ses vacances afin d'effectuer le ramassage et le comptage de la monnaie. De surcroît, les semaines durant lesquelles il n'est pas venu et a été remplacé par un collègue (cf. pièce 35/2), à tout le moins en 2006 et 2007, correspondent presque systématiquement (cf. pièce 18/2) à des périodes pendant lesquelles le montant mis sur le compte de l'O.________ dépassait le montant indiqué sur le ticket de l'horodateur de l'[...] (cf. semaines 2006 n° 16 [vacances au Tessin], 29-30 [vacances à Ravenna] et 41; semaines 2007 n° 29-30 [vacances à Ravenna]). Dans ces conditions, il sied de retenir que le fait de revenir de vacances afin d'effectuer lui-même l'opération de triage ainsi que le fait que lorsque N.________ était remplacé, la somme mise en compte dépassait le montant indiqué sur le ticket de l'horodateur de l'[...], constituent des indices à charge pour établir la culpabilité de l'appelant. L'argumentation de N.________ n'est pas fondée sur ce point.</w:t>
      </w:r>
    </w:p>
    <w:p>
      <w:r>
        <w:rPr>
          <w:b/>
        </w:rPr>
        <w:t>E. 3.6</w:t>
      </w:r>
    </w:p>
    <w:p>
      <w:r>
        <w:t>L'appelant soutient que sa situation financière est un élément plaidant pour son innocence. En effet, s'il avait gardé pour lui autant d'argent que l'O.________ le soutient, il aurait résolu ses problèmes de liquidités, ce qui n'est pas le cas. Cet argument tombe à faux. Durant la période où N.________ a travaillé pour I.________ Sàrl pour un salaire mensuel de 3'607 fr., sa situation financière s'est améliorée. Il a en effet remboursé des poursuites dirigées contre lui, à concurrence d’un total de 10'092 fr. 95 (pièce 5, p. 1; jgt, p. 11), soit 447 fr. en mai 2004, 881 fr. en novembre 2005 et le reste en 2006 et 2007. Vu la modicité de ses revenus et les charges découlant de pensions à verser (1'650 fr. au total à verser dès le 23 novembre 2005; cf. jugement du Tribunal de police de l'arrondissement de l'Est vaudois du 19 janvier 2006, p. 7), la concordance entre les disparitions d’argent et les remboursements de dettes constitue au contraire un élément probant de la culpabilité de l'appelant. En outre, il apparaît que les détournements ont commencé à être systématiques alors que N.________ avait comparu devant le Tribunal de police de l'arrondissement pour violation d'une obligation d'entretien en date du 22 septembre 2005.</w:t>
      </w:r>
    </w:p>
    <w:p>
      <w:r>
        <w:rPr>
          <w:b/>
        </w:rPr>
        <w:t>E. 3.7</w:t>
      </w:r>
    </w:p>
    <w:p>
      <w:r>
        <w:t>L'appelant tente encore de soutenir qu'il n'a jamais été vérifié si le montant prélevé correspondait au montant indiqué électroniquement sur la quittance délivrée par l'horodateur de l'[...]. Outre qu'on ne voit toutefois pas comment une telle vérification pourrait concrètement être réalisée, il faut relever que le prévenu n'a jamais signalé d'éventuelles incohérences s’il en constatait. Or, il s'agit là encore d'un indice déterminant de sa culpabilité que les versements aient été, mois après mois, inférieurs aux montants résultants des quittances et qu’il n’en ait rien dit alors qu’il se prévaut de sa bonne foi au motif qu’il a conservé les quittances.</w:t>
      </w:r>
    </w:p>
    <w:p>
      <w:r>
        <w:rPr>
          <w:b/>
        </w:rPr>
        <w:t>E. 3.8</w:t>
      </w:r>
    </w:p>
    <w:p>
      <w:r>
        <w:t>Il résulte de l'ensemble de ce qui précède que c'est à juste titre que les premiers juges se sont déclarés convaincus de la culpabilité de l'appelant. Le jugement ne contient à cet égard aucune constatation incomplète ou erronée des faits (art. 398 al. 3 let. b CPP).</w:t>
      </w:r>
    </w:p>
    <w:p>
      <w:r>
        <w:rPr>
          <w:b/>
        </w:rPr>
        <w:t>E. 4</w:t>
      </w:r>
    </w:p>
    <w:p>
      <w:r>
        <w:t>Il sied de déterminer la durée de l'activité délictueuse de N.________. L'appelant a été renvoyé par ordonnance du 30 juillet 2010 du Juge d'instruction de l'arrondissement de La Côte. Il lui était reproché d'avoir " dès le 21 octobre 2005 et jusqu'au 17 octobre 2007, date de son licenciement, (…) régulièrement gardé pour lui une partie de l'argent. ". Lors des débats de première instance, le Ministère public a précisé l'acte d'accusation en ce sens que les faits reprochés ont été commis du 1 er janvier 2004 au 17 octobre 2007. Sans se prononcer expressément, il semble que les premiers juges ont retenu (cf. jgt, p. 20, par. 2), après avoir procédé à une aggravation de l’accusation, que l'activité délictueuse de N.________ avait commencé le jour du début de son activité à l’O.________, soit en janvier 2004, et s'était étendue jusqu'au 17 octobre 2007. Il n'a cependant nullement été démontré que le prévenu avait commencé ses détournements dès son engagement. En premier lieu, les remboursements par l’appelant d’une partie de ses dettes sont nettement postérieurs à janvier 2004 (cf. supra c. 3.7). Ensuite, concernant l'année 2004, il apparaît que le total des recettes des horodateurs du site de l'O.________ était de 75'312 fr. 60 (pièces 18/2 et 51). S’il est arrivé que ce total soit notablement supérieur (environ 89'000 fr. en 2003 et plus de 106’000 fr. en 2008), il n’était que légèrement supérieur en 2002 (77'374 fr.). En outre, l’augmentation des recettes totales au fil des années s’explique au moins en partie par l’augmentation très conséquente des recettes attestées par quittances (55 % d’augmentation pour les horodateurs de l’[...] entre 2004 et 2008). Le seul fait qu'à une reprise, soit la semaine n° 46 de l'année 2004, le montant de la quittance du parking de l'[...] ait dépassé celui du versement sur le compte de l'O.________ ne suffit pas à établir que les détournements ont commencé en 2004 déjà. Il en va de même s'agissant des trente-six premières semaines de l'année 2005. En revanche, à partir de la semaine n° 37 de l'année 2005, soit à partir de la collecte du 16 septembre 2005, il devient pratiquement systématique que les montants versés sur le compte de l'O.________ sont inférieurs à ceux mentionnés sur les quittances délivrées par l'horodateur du seul parking de l'[...]. Sur la base de ce qui précède, il convient de constater que l'activité délictueuse de N.________ s’est déroulée de mi‑septembre 2005 jusqu’au 17 octobre 2007, ce qui implique l'admission partielle de l'appel.</w:t>
      </w:r>
    </w:p>
    <w:p>
      <w:r>
        <w:rPr>
          <w:b/>
        </w:rPr>
        <w:t>E. 5</w:t>
      </w:r>
    </w:p>
    <w:p>
      <w:r>
        <w:t>La qualification juridique retenue par le jugement du Tribunal correctionnel, et qui n'est pas contestée au stade de l'appel, est correcte. En effet, les pièces de monnaie issues des horodateurs ayant été confiées à celui qui devait les récolter, les trier, les conditionner et les déposer sur le compte de l'O.________, le fait d'en détourner une partie relève de l'abus de confiance et non du vol.</w:t>
      </w:r>
    </w:p>
    <w:p>
      <w:r>
        <w:rPr>
          <w:b/>
        </w:rPr>
        <w:t>E. 6</w:t>
      </w:r>
    </w:p>
    <w:p>
      <w:r>
        <w:t>La peine doit être fixée à nouveau compte tenu de la période d'activité finalement retenue à l'encontre de N.________.</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al. 1 CP fixe le principe et reprend le critère des antécédents et de la situation personnelle. Cet alinéa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w:t>
      </w:r>
    </w:p>
    <w:p>
      <w:r>
        <w:rPr>
          <w:b/>
        </w:rPr>
        <w:t>E. 6.2</w:t>
      </w:r>
    </w:p>
    <w:p>
      <w:r>
        <w:t>Pour sanctionner les délits qui ne justifient pas une condamnation à plus de trois cent soixante jours de privation de liberté, le juge a le choix entre les peines privative de liberté et pécuniaire, voire entre ces deux types de peines et le travail d'intérêt général. Conformément à la jurisprudence, il doit, dans ces cas, prononcer le type de peine qui est le mieux à même d'atteindre les buts de la sanction pénale, au regard de ses effets sur la personne et sur l'environnement social du condamné, ainsi que de son efficacité en matière de prévention (ATF 134 IV 97 c. 4.2). Lorsque l'alternative porte exclusivement entre la peine privative de liberté et la peine pécuniaire, le principe de la proportionnalité l'oblige à donner la préférence à la peine pécuniaire, qui a la priorité sur la peine privative de liberté (ATF 134 IV 82 c. 4.1), que si la peine pécuniaire permet de sanctionner la culpabilité de l'auteur de manière équivalente. En cas contraire, il peut prononcer une peine privative de liberté (TF 6B_53/2010 du 22 avril 2010 c. 1.2). Le choix du type de sanction doit être opéré en tenant compte au premier chef de l'adéquation d'une sanction déterminée, de ses effets sur l'auteur et sur sa situation sociale ainsi que de son efficacité du point de vue de la prévention (ATF 134 IV 97, précité, c. 4.2, 82, précité, c. 4.1). La situation économique de l'auteur ou le fait que son insolvabilité apparaît prévisible ne constituent en revanche pas des critères déterminants pour choisir la nature de la sanction (TF 6B_210/2010 du 8 juin 2010 c. 2.2 et les références citées).</w:t>
      </w:r>
    </w:p>
    <w:p>
      <w:r>
        <w:rPr>
          <w:b/>
        </w:rPr>
        <w:t>E. 6.3</w:t>
      </w:r>
    </w:p>
    <w:p>
      <w:r>
        <w:t>Les principes régissant la détermination de la quotité du jour-amende ont été exposés dans l'ATF 134 IV 60 c. 6, auquel on peut se référer. Il en résulte notamment que le montant du jour-amende doit être fixé en partant du revenu net que l'auteur réalise en moyenne quotidiennement. Le montant du jour-amende ne peut être inférieur à 10 francs (ATF 135 IV 180 c. 1.4.2).</w:t>
      </w:r>
    </w:p>
    <w:p>
      <w:r>
        <w:rPr>
          <w:b/>
        </w:rPr>
        <w:t>E. 6.4</w:t>
      </w:r>
    </w:p>
    <w:p>
      <w:r>
        <w:t>En l'espèce, contrairement à l'avis des premiers juges, ni la situation financière difficile de l'appelant, ni la durée de l'activité délictueuse, ni l'absence d'aveux ne peuvent justifier le prononcé d'une peine privative de liberté et il y a lieu de privilégier le prononcé d'une peine pécuniaire conformément à la jurisprudence précitée (cf. supra c. 6.2). N.________ s'est rendu coupable d'abus de confiance sur une période de plus de deux ans et a ainsi causé un préjudice important à son employeur. Il a commis les infractions dont il est reconnu coupable alors qu’il bénéficiait d’une entière confiance de I.________ SA, de l'O.________ et de ses collègues. Ses agissements n'ont cessé que suite à son licenciement et sa responsabilité est pleine et entière. Son casier judiciaire comporte une condamnation à une peine d'emprisonnement de quinze jours avec sursis durant deux ans pour violation d'une obligation d'entretien. Il n'a pas collaboré au cours de l'enquête. A décharge, il sied de prendre en considération l'ancienneté relative de certains faits punissables et la situation économique précaire du prévenu. Dans ces circonstances, la faute de N.________ doit être qualifiée de moyennement grave, celui-ci ayant lésé de manière systématique son employeur sur une relativement longue période et ayant grossièrement trahi sa confiance. Compte tenu de l'ensemble des critères rappelés ci-dessus, une peine de deux cent dix jours-amende paraît adéquate pour sanctionner les agissements de N.________. Quant au montant du jour-amende, au vu de la situation économique de l'intéressé décrite ci-dessus (cf. B/1), il doit être arrêté à 30 francs.</w:t>
      </w:r>
    </w:p>
    <w:p>
      <w:r>
        <w:rPr>
          <w:b/>
        </w:rPr>
        <w:t>E. 7</w:t>
      </w:r>
    </w:p>
    <w:p>
      <w:r>
        <w:t>Le prévenu conteste le montant des dommages-intérêts mis à sa charge.</w:t>
      </w:r>
    </w:p>
    <w:p>
      <w:r>
        <w:rPr>
          <w:b/>
        </w:rPr>
        <w:t>E. 7.1</w:t>
      </w:r>
    </w:p>
    <w:p>
      <w:r>
        <w:t>Il ressort de l'art. 123 al. 1 CPP que dans la mesure du possible, la partie plaignante chiffre ses conclusions civiles dans sa déclaration en vertu de l'art. 119 et les motive par écrit. Elle cite les moyens de preuves qu'elle entend communiquer. Aux termes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Il convient d'interpréter largement le terme "chiffrer" utilisé par le législateur à l'art. 123 CPP. En vertu de la maxime de disposition, le lésé doit indiquer de façon précise au juge ce qu'il demande: cette exigence recouvre non seulement le chiffrage proprement dit (ainsi s'agissant de prétentions en dommages-intérêts [art. 43 CO], pour tort moral [art. 49 CO]), mais aussi la prise de conclusions individualisées s'il y a lieu. Le devoir de motiver impose principalement au demandeur à l'action civile d'exposer les faits sur lesquels se fondent ses conclusions, ces faits devant permettre d'établir la quotité du dommage et le lien de causalité avec l'infraction poursuivie (Nicolas Jeandin/Henry Matz, in Kuhn/Jeanneret, op. cit., n. 4  et 5 ad art. 123 CPP).</w:t>
      </w:r>
    </w:p>
    <w:p>
      <w:r>
        <w:rPr>
          <w:b/>
        </w:rPr>
        <w:t>E. 7.2</w:t>
      </w:r>
    </w:p>
    <w:p>
      <w:r>
        <w:t>Conformément aux principes généraux, le dommage correspond à la diminution involontaire de la fortune nette. Il peut consister dans une réduction de l'actif, en une augmentation du passif ou dans un gain manqué; il équivaut à la différence entre le montant actuel du patrimoine et le montant que celui-ci aurait atteint si l'événement dommageable ne s'était pas produit (ATF 132 III 186 c. 8.1 et les références citées). Aux termes de l'art. 41 al. 1 CO, celui qui cause, d'une manière illicite, un dommage à autrui, soit intentionnellement, soit par négligence ou imprudence, est tenu de le réparer. Il appartient au demandeur de prouver le dommage subi (art. 42 al. 1 CO), soit sa survenance et son montant. En vertu de l'art. 42 al. 2 CO lorsque le montant exact du dommage ne peut être établi, le juge le détermine équitablement en considération du cours ordinaire des choses et des mesures prises par la partie lésée. Cette disposition s'applique si le préjudice est d'une nature telle qu'il est impossible de l'établir ou si les preuves nécessaires font défaut ou encore si leur administration ne peut être exigée du demandeur (ATF 128 III 271 c. 2b, JT 2003 I 606; ATF 122 III 219 c. 3a, JT 1997 I 246; ATF 105 II 87 c. 1.3, JT 1980 I 17). Elle ne libère toutefois pas le lésé de l'obligation d'alléguer et de prouver tous les faits permettant de conclure à l'existence d'un dommage et qui rendent possible ou facilitent son estimation (ATF 131 III 360 c. 5.1, JT 2005 I 502 et la jurisprudence citée; ATF 128 III 271 c. 2b, JT 2003 I 606; ATF 97 II 216 c. 1, JT 1972 I 466).</w:t>
      </w:r>
    </w:p>
    <w:p>
      <w:r>
        <w:rPr>
          <w:b/>
        </w:rPr>
        <w:t>E. 7.3</w:t>
      </w:r>
    </w:p>
    <w:p>
      <w:r>
        <w:t>En l'occurrence, l'O.________ a procédé à un calcul comparatif des années 2004 à 2007 avec les montants de la fin de l'année 2007 et des années 2008 et 2009 (pièce 72). Il en résulterait une perte moyenne mensuelle de 3'845 fr. 40, à multiplier par les 46 mois durant lesquels le prévenu aurait agi (janvier 2004 à octobre 2007), de telle sorte que le montant du dommage serait de 160'329 fr. 30. Le montant susmentionné ne saurait être retenu comme correspondant à la quotité du dommage. En premier lieu, force est de constater que la durée de l'activité délictueuse de N.________ est inférieure à celle prise en compte par l'O.________ dans la mesure où elle ne s'est finalement étendue que sur vingt-cinq mois d’activité et non quarante-six comme cela a été retenu en première instance. Au demeurant, le calcul du dommage mensuel ne prend nullement en considération la nette augmentation (55 % sur cinq ans) des rentrées financières établies par quittance, au sujet desquelles personne ne prétend qu’il y ait eu détournement. Autrement dit, contrairement aux déclarations de T.________ à l’audience de première instance (jgt, p. 13), il appert qu’il y a eu une très nette évolution de l’occupation du parking de l’[...]. Il serait ainsi arbitraire d’imputer à l’appelant la différence entre le total des rentrées 2006 et 2007 et le total des rentrées 2008 et 2009. Afin de déterminer précisément le dommage subi, il convient en conséquence d’additionner semaine par semaine (du 16 septembre 2005 au 17 octobre 2007), en se fondant sur la pièce 18/2, la différence entre le montant résultant des quittances de l’horodateur et celui déposé sur le compte de l’O.________. Il en résulte un dommage avéré de 21'417 fr. 97. Constatant, dans un deuxième temps, qu’il ressort des chiffres des années 2008 et 2009 que la proportion entre les rentrées des divers parkings est en substance de ¾ pour celui de l’[...] et de ¼ pour les autres parkings, il est nécessaire d’augmenter de 33 % le total obtenu dans la première phase, ce qui porte en définitive le dommage à 28'557 fr. 20 (21'417.97 x 4/3). Au vu de la convention conclue par I.________ SA et l'O.________ (pièce 51) et du versement de 50'000 fr. déjà opéré, la somme de 28'557 fr. 20 avec intérêt à 5 % l'an dès le 1 er novembre 2007 sera allouée à I.________ SA. Le dommage de l'O.________ étant couvert par le versement de I.________ SA, les prétentions civiles de l'O.________ seront rejetées.</w:t>
      </w:r>
    </w:p>
    <w:p>
      <w:r>
        <w:rPr>
          <w:b/>
        </w:rPr>
        <w:t>E. 8</w:t>
      </w:r>
    </w:p>
    <w:p>
      <w:r>
        <w:t>En définitive, l'appel doit être partiellement admis et le jugement réformé dans le sens des considérants. Il doit être confirmé pour le surplus. L'appelant ayant obtenu partiellement gain de cause, il se justifie de mettre les frais de procédure, selon l'art. 424 CPP, à raison d'une moitié à sa charge (art. 428 al. 1, 1 ère phrase, CPP), le solde restant à la charge de l'Etat. Outre l'émolument, ces frais comprennent l’indemnité d’office allouée au défenseur d'office du prévenu (cf. art. 135 al. 2 et 422 al. 2 let. a CPP ; art. 2 al. 2 ch. 1 TFJP [Tarif des frais judiciaires pénaux, RSV 312.03.1 ]). Vu l'ampleur et la complexité de la cause, cette indemnité doit être fixée sur la base d'une durée d'activité de six heures par 180 fr. l'heure, TVA de 86 fr. 40 en sus. Le remboursement à l'Etat de l'indemnité due au défenseur d'office de l'intimé sera exigible pour autant que la situation économique de ce dernier se soit améliorée (ATF 135 I 91 c. 2.4, spéc. 2.4.3). L'O.________ n'ayant pas formulé de prétentions relatives à une juste indemnité pour les dépenses obligatoires occasionnées par la procédure au sens de l'art. 433 CPP, la cour de céans n'a pas à examiner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