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121 vom 10. Januar 2011</w:t>
      </w:r>
    </w:p>
    <w:p>
      <w:r>
        <w:t>VD Tribunal cantonal, 2011-01-10, FR</w:t>
      </w:r>
    </w:p>
    <w:p>
      <w:r>
        <w:rPr>
          <w:b/>
        </w:rPr>
        <w:t xml:space="preserve">Quelle: </w:t>
      </w:r>
      <w:r>
        <w:t>https://mcp.opencaselaw.ch/entscheid/vd_findinfo_Jug___2011___121</w:t>
      </w:r>
    </w:p>
    <w:p>
      <w:r>
        <w:t>FR: VD_FINDINFO Jug / 2011 / 121 du 10 janvier 2011</w:t>
      </w:r>
    </w:p>
    <w:p>
      <w:r>
        <w:t>IT: VD_FINDINFO Jug / 2011 / 121 del 10 gennaio 2011</w:t>
      </w:r>
    </w:p>
    <w:p>
      <w:pPr>
        <w:pStyle w:val="Heading2"/>
      </w:pPr>
      <w:r>
        <w:t>Regeste</w:t>
      </w:r>
    </w:p>
    <w:p>
      <w:r>
        <w:t>INJURE, FARDEAU DE LA PREUVE, DROIT D'ÊTRE ENTENDU, FIXATION DE LA PEINE | 177 al. 1 CP, 177 al. 2 CP, 44 al. 1 CP, 44 CP, 47 CP, 398 al. 4 CPP (CH)</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let. a à c).</w:t>
      </w:r>
    </w:p>
    <w:p>
      <w:r>
        <w:rPr>
          <w:b/>
        </w:rPr>
        <w:t>E. 3</w:t>
      </w:r>
    </w:p>
    <w:p>
      <w:r>
        <w:t>Reconnue coupable d'injure, l'appelante allègue que son comportement a été provoqué par les agissements du plaignant et que des témoins pourraient confirmer ses dires.</w:t>
      </w:r>
    </w:p>
    <w:p>
      <w:r>
        <w:rPr>
          <w:b/>
        </w:rPr>
        <w:t>E. 3.1</w:t>
      </w:r>
    </w:p>
    <w:p>
      <w:r>
        <w:t>Aux termes de l'art. 177 CP, celui qui, de toute autre manière, aura, par la parole, l’écriture, l’image, le geste ou par des voies de fait, attaqué autrui dans son honneur sera, sur plainte, puni d’une peine pécuniaire de 90 jours-amende au plus (al. 1). La jurisprudence précise que les terme "trou du cul" et "connard" sont effectivement des expressions de mépris propres à entraîner objectivement la qualification d'injure (CCASS 4 février 2004/35, c.3). D'après l'art. 177 al. 2 CP, le juge pourra exempter le délinquant de toute peine si l’injurié a directement provoqué l’injure par une conduite répréhensible (al. 2). Le juge ne peut faire usage de la faculté que lui réserve l’art. 177 al. 2 CP que si l’injure a consisté en une réaction immédiate a un comportement répréhensible de l’injurié, lequel peut consister en une provocation ou en tout autre comportement blâmable. Ce comportement ne doit pas nécessairement viser l’auteur de l’injure; une conduite grossière en public peut suffire (ATF 117 IV 270 c. 2c p. 273 et la jurisprudence citée). La notion d’immédiateté doit être comprise comme une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 4b in fine). Il peut aussi se borner à atténuer cette dernière. Il dispose à cet égard d’un large pouvoir d’appréciation.</w:t>
      </w:r>
    </w:p>
    <w:p>
      <w:r>
        <w:rPr>
          <w:b/>
        </w:rPr>
        <w:t>E. 3.2</w:t>
      </w:r>
    </w:p>
    <w:p>
      <w:r>
        <w:t>Entendue comme témoin par l'autorité de céans, [...] a dit qu'elle ne se souvenait pas si J.________ avait injurié l'agent de police. Le témoin [...] a indiqué n'avoir pas vu grand-chose de l'altercation entre les parties, car il avait été sprayé et menotté. Dès lors, il n'y a aucun élément corroborant la version de l'accusée et il sied de retenir la version des faits exposée ci-dessus, telle qu'elle résulte du rapport de police, à savoir, en bref que le plaignant a ordonné à J.________ de se mettre sur le trottoir, qu'elle n'a pas obtempéré et l'a traité de "connard" et qu'alors seulement, le plaignant l'a saisie pour l'éloigner.</w:t>
      </w:r>
    </w:p>
    <w:p>
      <w:r>
        <w:rPr>
          <w:b/>
        </w:rPr>
        <w:t>E. 3.2.2</w:t>
      </w:r>
    </w:p>
    <w:p>
      <w:r>
        <w:t>En traitant le plaignant de "connard" comme elle l'a admis l'avoir fait dans la nuit du 12 mars 2010, J.________ s'est rendue coupable d'injure au sens de l'art. 177 al.1 CP. Pour le reste, il n'y a aucun élément dans l'attitude du policier ST.________ qui aurait pu susciter directement l'injure proférée; le fait que celui-ci ait ordonné à l'appelante de regagner le trottoir pour sa sécurité et qu'il l'y ait menée par la contrainte suite à l'injure proférée et parce qu'elle refusait d'obtempérer n'est pas une circonstance propre à entraîner l'exemption de peine au sens de l'art. 177 al. 2 CP.</w:t>
      </w:r>
    </w:p>
    <w:p>
      <w:r>
        <w:rPr>
          <w:b/>
        </w:rPr>
        <w:t>E. 3.2.3</w:t>
      </w:r>
    </w:p>
    <w:p>
      <w:r>
        <w:t>En outre, au vu des faits retenus, l'intéressée a troublé l'ordre et la tranquillité publics, ce qui viole l'art. 26 du Règlement général de police de la commune de Lausanne (ci-après : RGP). Le comportement d'J.________ n'ayant pas empêché les agents de police de mener à bien leur intervention, il n'y a pas lieu de retenir à son encontre la contravention à l'art. 29 RGP. Le jugement entrepris doit être confirmé sur ces points, qui ne sont d'ailleurs pas contestés par l'appelante.</w:t>
      </w:r>
    </w:p>
    <w:p>
      <w:r>
        <w:rPr>
          <w:b/>
        </w:rPr>
        <w:t>E. 4</w:t>
      </w:r>
    </w:p>
    <w:p>
      <w:r>
        <w:t>L'appelante conteste la peine, ainsi que la durée du sursis qui lui a été octroyé.</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fixée par l'art. 63 aCP et la jurisprudence élaborée en application de cette disposition (ATF 134 IV 17 c. 2.1). Cette jurisprudence conserve toute sa valeur, de sorte que l'on peut continuer à s'y référer (ATF 129 IV 6 c. 6.1, p. 21). L'art. 47 CP confère un large pouvoir d'appréciation au juge. Par conséquent, celui-ci ne viole pas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129 IV 6, op. cit.).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aussi des peines plus clémentes. Ainsi une peine pécuniaire sera toujours considérée comme moins sévère qu'une peine privative de liberté, une sanction patrimoniale étant moins lourde qu'une atteinte à la liberté personnelle. De même, le travail d'intérêt général sera moins sévère qu'une peine privative de liberté et que l'amende selon l'ancien droit, dès lors que son prononcé nécessite l'accord de l'auteur. D'après l'art. 37 CP, à la place d'une peine privative de liberté de moins de six mois ou d'une peine pécuniaire de 180 jours-amende au plus, le juge peut ordonner, avec l'accord de l'auteur, un travail d'intérêt général de 720 heures au plus (al. 1).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Cette peine tend à favoriser, à des fins de prévention spéciale, le maintien de l'auteur dans son milieu social, en lui faisant compenser l'infraction par une prestation personnelle en faveur de la communauté plutôt que par une privation de liberté ou une peine pécuniaire. Bien que le texte légal ne prévoie aucune cause d'exclusion tenant à la personne de l'auteur, seule peut être condamnée à fournir un travail d'intérêt général une personne apte au travail.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 prendre pour sa sécurité ou pour celle des autres travailleurs, notamment sur le plan médical, compliquent à ce point la marche du service que sa collaboration présenterait un intérêt manifestement insuffisant pour justifier son engagement par une institution habilitée (ATF 134 IV 97 c. 6.3.3, p. 107ss; TF du 2 mars 2009 6B_268/2008, c. 4). Selon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4 juin 2010 6B_101/2010 c. 2.1).</w:t>
      </w:r>
    </w:p>
    <w:p>
      <w:r>
        <w:rPr>
          <w:b/>
        </w:rPr>
        <w:t>E. 4.2</w:t>
      </w:r>
    </w:p>
    <w:p>
      <w:r>
        <w:t>Le premier juge a prononcé un travail d'intérêt général de 20 heures pour sanctionner l'injure; il a en outre infligé une amende de 80 fr. convertible, en cas de non paiement, en deux jours de peine privative de liberté pour punir la contravention à l'art. 26 RGP. En l'espèce, les conditions étaient réunies pour prononcer un travail d'intérêt général (ATF 134 IV 97), de sorte que le tribunal aurait dû infliger une telle peine à la place de l'amende. En effet, l'ancienne loi sur les sentences municipales du 17 novembre 1969 (LSM, RSV 312.15) prévoyait déjà (à son art. 6a) le travail d'intérêt général à la place de l'amende. De même, l'art. 26 al. 1 de la loi sur les contraventions du 19 mai 2009 (LContr; RSV 312.11) entrée en vigueur le 1 er janvier 2011 et applicable au cas d'espèce, prévoit qu'avec l'accord de l'auteur, un travail d'intérêt général de 24 heures au plus peut être ordonné à la place de l'amende. Or l'intéressée n'a aucune ressource et elle est physiquement apte à exécuter un travail d'intérêt général. De nationalité suisse, elle ne risque pas de se faire expulser, de sorte qu'une telle sanction peut être exécutée. Elle a en outre donné son accord en cours de procédure. Enfin, ce genre de peine paraît adéquat si l'on tient compte du fait qu'J.________ a un casier judiciaire vierge et qu'elle s'est excusée devant l'autorité de céans.</w:t>
      </w:r>
    </w:p>
    <w:p>
      <w:r>
        <w:rPr>
          <w:b/>
        </w:rPr>
        <w:t>E. 4.3</w:t>
      </w:r>
    </w:p>
    <w:p>
      <w:r>
        <w:t>L'injure est punie, sur plainte, d'une peine pécuniaire de 90 jours-amende au plus, peine qui peut être remplacée par un TIG, avec l'accord de l'auteur (art. 37 CP). La contravention à l'art. 26 RPG est passible d'une amende, qui peut également, avec l'accord de l'auteur, être remplacée par un TIG de 24 heures au plus (art. 26 LContr.). En l'espèce, les infractions commises doivent être réprimées, d'autant que la prévenue a persisté, tant aux débats de première instance que dans le cadre de son appel, à considérer que le contexte justifiait son attitude. Toutefois, la culpabilité de l'intéressée n'est pas incompatible avec une peine modérée. Au regard de sa situation personnelle et financière, un travail d'intérêt général, auquel elle a donné son accord est plus approprié qu'une peine pécuniaire. Au regard des infractions commises, qui entrent en concours (cf. art. 49 CP), de la culpabilité de l'appelante et de l'ensemble des éléments à prendre en considération en application de l'art. 47 CP, la peine peut être fixée à 24 heures de travail d'intérêt général.</w:t>
      </w:r>
    </w:p>
    <w:p>
      <w:r>
        <w:rPr>
          <w:b/>
        </w:rPr>
        <w:t>E. 4.4</w:t>
      </w:r>
    </w:p>
    <w:p>
      <w:r>
        <w:t>Enfin, l'appelante ne saurait se plaindre de la durée du sursis accordé. Fixée à deux ans, celle-ci équivaut, en effet, au minimum légal prescrit par l'art. 44 al. 1 CP et ne peut donc être revue à la baisse.</w:t>
      </w:r>
    </w:p>
    <w:p>
      <w:r>
        <w:rPr>
          <w:b/>
        </w:rPr>
        <w:t>E. 5</w:t>
      </w:r>
    </w:p>
    <w:p>
      <w:r>
        <w:t>Vu ce qui précède, il convient d'admettre partiellement l'appel d'J.________ et de réformer le jugement entrepris en ce sens qu'J.________ est condamnée à une peine de 24 heures de travail d'intérêt général avec sursis pendant deux ans. Ledit jugement doit être confirmé pour le surplus.</w:t>
      </w:r>
    </w:p>
    <w:p>
      <w:r>
        <w:rPr>
          <w:b/>
        </w:rPr>
        <w:t>E. 6</w:t>
      </w:r>
    </w:p>
    <w:p>
      <w:r>
        <w:t>Vu le sort de l'appel, les frais de seconde instance –fixés en application de l'art. 21 du tarif des frais judiciaires pénaux du 28 septembre 2010 (TFJP; RSV 312.03.1)- doivent être supportés à raison de deux tiers par J.________,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