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116 vom 17. Juni 2011</w:t>
      </w:r>
    </w:p>
    <w:p>
      <w:r>
        <w:t>VD Tribunal cantonal, 2011-06-17, FR</w:t>
      </w:r>
    </w:p>
    <w:p>
      <w:r>
        <w:rPr>
          <w:b/>
        </w:rPr>
        <w:t xml:space="preserve">Quelle: </w:t>
      </w:r>
      <w:r>
        <w:t>https://mcp.opencaselaw.ch/entscheid/vd_findinfo_Jug___2011___116</w:t>
      </w:r>
    </w:p>
    <w:p>
      <w:r>
        <w:t>FR: VD_FINDINFO Jug / 2011 / 116 du 17 juin 2011</w:t>
      </w:r>
    </w:p>
    <w:p>
      <w:r>
        <w:t>IT: VD_FINDINFO Jug / 2011 / 116 del 17 giugno 2011</w:t>
      </w:r>
    </w:p>
    <w:p>
      <w:pPr>
        <w:pStyle w:val="Heading2"/>
      </w:pPr>
      <w:r>
        <w:t>Regeste</w:t>
      </w:r>
    </w:p>
    <w:p>
      <w:r>
        <w:t>MOTIF DE RÉVISION, RÉVISION{DÉCISION} | 410 al. 1 let. a CPP (CH), 428 al. 1 CPP (CH)</w:t>
      </w:r>
    </w:p>
    <w:p>
      <w:pPr>
        <w:pStyle w:val="Heading2"/>
      </w:pPr>
      <w:r>
        <w:t>Erwägungen</w:t>
      </w:r>
    </w:p>
    <w:p>
      <w:r>
        <w:rPr>
          <w:b/>
        </w:rPr>
        <w:t>E. 30</w:t>
      </w:r>
    </w:p>
    <w:p>
      <w:r>
        <w:t>mai 2011 qui distingue le droit applicable à la procédure et celui applicable aux motifs). 1.2 Le requérant, condamné par l'ordonnance ici en cause, a un intérêt juridiquement protégé à en demander la révision; il a donc qualité pour agir (cf. l'art. 410 al. 1, in initio, CPP). Motivée, la demande de révision est valide en la forme (cf. l'art. 411 al. 1 CPP). La juridiction d'appel est compétente pour statuer sur la demande de révision (art. 21 al. 1 let. b CPP). Il doit donc être entré en matière. 2.1 A teneur de l'art. 410 al. 1 let. a CPP, toute personne lésée notamment par une ordonnance pénale (art. 352 CPP)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2.2 Définissant plus avant les conditions matérielles de la révision, l'arrêt fédéral précité relève ce qui suit :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Savoir si l'autorité cantonale s'est fondée sur une juste notion de fait ou de moyen de preuve nouveau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ressort de l'établissement des faits. Il en va de même de la question de savoir si un fait ou un moyen de preuve nouveau est propre à modifier l'état de fait retenu, puisqu'elle relève de l'appréciation des preuves, étant rappelé qu'une vraisemblance suffit au stade du rescindant (ATF 130 IV 72 consid. 1 p. 73)». 2.3 Dans l’arrêt 130 IV 72, cité ci-dessus, le Tribunal fédéral a précisé que, compte tenu des particularités procédurales de l’ordonnance de condamnation,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La juridiction fédérale a en outre considéré ce qui suit (arrêt précité, c. 2.3) : «Une ordonnance de condamnation constitue une proposition de jugement faite à l'accusé. Rendue à la suite d'une procédure simplifiée, elle ne déploie ses effets juridiques qu'en cas d'acceptation manifestée par une absence d'opposition. Si l'accusé refuse la proposition, il lui suffit de former opposition pour ouvrir la procédure ordinaire de jugement (cf. ATF 124 I 76, consid. 2 p. 78; […]). Ces caractéristiques valent en procédure pénale vaudoise. L'accusé a en particulier la possibilité de ne pas se soumettre à une ordonnance de condamnation en formant dans un délai de dix jours dès sa réception une opposition par simple déclaration écrite (cf. art. 267 du Code de procédure pénale vaudois). L'ordonnance de condamnation présente l'avantage de permettre la liquidation d'affaires pénales de faible voire de moyenne importance par un procédé simple et rapide. Elle est en principe prononcée lorsque les faits paraissent établis ou lorsqu'ils ont été reconnus par l'accusé (…). Comme elle repose sur une procédure simplifiée, certains faits pertinents sont susceptibles d'échapper au juge. C'est notamment pour cette raison que l'accusé peut aisément requérir, en formant opposition, la tenue d'une procédure ordinaire. Dans le cadre de cette dernière, il aura l'occasion de présenter une argumentation complète, tant en fait qu'en droit. La procédure de l'ordonnance de condamnation a ainsi pour spécificité de contraindre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2.4 L'arrêt du 30 mai 2011 précité précise que, s’agissant d’une révision en faveur du condamné, les motifs de révision prévus à l’art. 410 al. 1 let. a CPP correspondent à ceux de l’art. 385 CP. Il doit être précisé que ceux de l’art. 385 CP sont issus de l'ancien art. 397 CP, sous l’empire duquel la jurisprudence publiée aux ATF 130 IV 72 a été rendue. Dès lors que l’ordonnance pénale de l’art. 352 CPP revêt les mêmes caractéristiques que l’ancienne ordonnance de condamnation selon le Code de procédure pénale vaudois (cf. Gilliéron/Killias, dans : Kuhn/Jeanneret [éd.], Code de procédure pénale suisse, Commentaire romand, Bâle 2011, nn. 1ss ad art. 352 CPP), la jurisprudence mentionnée plus haut (ATF 130 IV 72) est applicable par analogie au prononcé ici en cause, rendu selon le droit de procédure fédéral. 3. Au titre de motif de révision, le requérant fait valoir qu'il n'était pas au volant du véhicule lors des faits incriminés. L’identité du conducteur n’est pas un élément de fait inconnu au sens de l'art. 410 al. 1 let. a CPP, lequel serait nouvellement parvenu à la connaissance du requérant. En effet, les enquêteurs et l'autorité de condamnation ont instruit le point de savoir qui était au volant et ont retenu les déclarations concordantes des protagonistes, seuls occupants du véhicule lors des faits. Le requérant connaissait alors déjà parfaitement l’identité du conducteur et pouvait l’invoquer dans le cadre de l’opposition (cf. ATF 130 IV 72, c. 2.3, cité au c. 2.3 ci-dessus). Les conditions d'une révision ne sont dès lors pas réunies. Il apparaît bien plutôt que le requérant change sa version des faits une fois qu’il a compris les conséquences administratives des infractions réprimées, soit le retrait temporaire de son permis de conduire. Sa demande doit en conséquence être rejetée. 4. Vu l'issue de la cause, les frais de révision (art. 20 et 21, par renvoi de l'art. 22 du Tarif des frais judiciaires pénaux, TFJP [RSV 312.03.1 ]) doivent être mis à la charge du requérant (art. 428 al. 1, 1 ère phrase, CPP, applicable à la procédure de révision en vertu de l'art. 416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