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115 vom 5. Mai 2011</w:t>
      </w:r>
    </w:p>
    <w:p>
      <w:r>
        <w:t>VD Tribunal cantonal, 2011-05-05, FR</w:t>
      </w:r>
    </w:p>
    <w:p>
      <w:r>
        <w:rPr>
          <w:b/>
        </w:rPr>
        <w:t xml:space="preserve">Quelle: </w:t>
      </w:r>
      <w:r>
        <w:t>https://mcp.opencaselaw.ch/entscheid/vd_findinfo_Jug___2011___115</w:t>
      </w:r>
    </w:p>
    <w:p>
      <w:r>
        <w:t>FR: VD_FINDINFO Jug / 2011 / 115 du 5 mai 2011</w:t>
      </w:r>
    </w:p>
    <w:p>
      <w:r>
        <w:t>IT: VD_FINDINFO Jug / 2011 / 115 del 5 maggio 2011</w:t>
      </w:r>
    </w:p>
    <w:p>
      <w:pPr>
        <w:pStyle w:val="Heading2"/>
      </w:pPr>
      <w:r>
        <w:t>Regeste</w:t>
      </w:r>
    </w:p>
    <w:p>
      <w:r>
        <w:t>CONTRAT INFORMATIQUE, CONTRAT D'ENTREPRISE, PRINCIPE DE LA CONFIANCE{INTERPRÉTATION DU CONTRAT}, RÉSILIATION, DOMMAGE, PERTE DE GAIN | 18 CO, 363 CO, 377 CO, 97 CO, 266 al. 1 CPC</w:t>
      </w:r>
    </w:p>
    <w:p>
      <w:pPr>
        <w:pStyle w:val="Heading2"/>
      </w:pPr>
      <w:r>
        <w:t>Erwägungen</w:t>
      </w:r>
    </w:p>
    <w:p>
      <w:r>
        <w:rPr>
          <w:b/>
        </w:rPr>
        <w:t>E. 14</w:t>
      </w:r>
    </w:p>
    <w:p>
      <w:r>
        <w:t>décembre 1966; RSV 2.7), les conclusions peuvent être réduites ou modifiées, pourvu que les conclusions nouvelles demeurent en connexité avec la demande initiale. Toute modification, réduction ou augmentation de conclusions est faite par requête, notifiée par le juge à la partie adverse, ou par dictée au procès-verbal (art. 268 al. 1 CPC-VD). En l'espèce, les modifications que la demanderesse a apportées à ses conclusions au pied de son mémoire de droit ont été introduites au mépris des formes légales, de sorte qu'il convient d'en faire abstraction dans l'examen de la présente cause. III. Les défenderesses soutiennent que les conclusions prises contre elles seraient purement constatatoires et donc irrecevables, la demanderesse ne pouvant justifier d'aucun intérêt digne de protection à la constatation immédiate de son droit. En règle générale, l'action en constatation de droit est irrecevable lorsque le demandeur dispose d'une action condamnatoire (Poudret/Haldy/Tappy, Procédure civile vaudoise, 3 ème éd., Lausanne 2002, n. 2 ad art. 265 CPC-VD; sur les exceptions à ce principe, cf. Hohl, Procédure civile, T. I, Berne 2001, n. 143). A la rigueur d'une interprétation strictement littérale des conclusions en cause, l'argumentaire des défenderesses offre une apparence de raison. La demanderesse n'a pas conclu explicitement au paiement; elle s'est bornée à demander que les défenderesses soient "reconnues solidairement redevables" de diverses sommes d'argent. Cependant, les conclusions doivent être interprétées de manière objective, conformément aux principes généraux et selon les règles de la bonne foi (ATF 105 II 149 c. 2a, JT 1980 I 177; Abbet, Le principe de la bonne foi en procédure civile, SJ 2010 II 221, p. 247, note infrap. n. 169). La lettre des conclusions n'est pas déterminante à elle seule; il convient bien plutôt de prendre en compte toutes les circonstances ayant accompagné leur formulation (Guldener, Schweizerisches Zivilprozessrecht, 3 ème éd., Zurich 1979, p. 262). De ce point de vue, on ne saurait admettre, de bonne foi, que la demanderesse voulait prendre des conclusions constatatoires: elle n'y avait aucun intérêt et n'en a d'ailleurs allégué aucun. Il apparaît au contraire qu'en postulant la reconnaissance judiciaire de sa créance, dont elle a chiffré le montant d'une manière précise, elle entendait aussi, ne serait-ce que d'une façon implicite, en obtenir le paiement (CCIV, 2 février 2001/92 c. 1bb). Sanctionner d'irrecevabilité la demande dont les conclusions souffrent d'un pareil défaut de formulation procéderait d'un excès de formalisme, prohibé par l'art. 29 Cst. (Constitution fédérale de la Confédération Suisse; RS 101). Il s'ensuit que l'action de la demanderesse, interprétée dans le sens d'une demande en paiement, est recevable. IV. A l'appui de ses deux premiers chefs de conclusions (ch. 1, let. a et b), la demanderesse reproche aux défenderesses d'avoir violé leurs obligations contractuelles en continuant d'utiliser et de développer le logiciel "I.________" , à compter du mois d'août 2007, sans plus recourir à ses services. A la suivre, les défenderesses P. N.________ SA, P. L.________ SA et P. H.________ AG auraient également contrevenu à leurs devoirs contractuels en cédant ce programme, à titre onéreux, à la défenderesse P. S.________ SA. La demanderesse qualifie ces actes d'"appropriation illégitime" du noyau du logiciel et du développement spécifique de celui-ci. V. En tant qu'elle accuse les défenderesses de s'être appropriées sans droit le noyau et les développements du logiciel "I.________" , la demanderesse revendique implicitement un droit de propriété intellectuelle sur ledit logiciel. Les biens immatériels ne sont reconnus comme objets de droit que dans les limites fixées par la loi, la jurisprudence et la doctrine (Troller, Précis du droit suisse des biens immatériels, 2 ème éd., Bâle 2006, p. 20). Les auteurs d'œuvres littéraires et artistiques sont protégés par la LDA (loi fédérale sur le droit d'auteur et les droits voisins; RS 231.1). Un programme d'ordinateur (logiciel) est également considéré comme une œuvre (art. 2 al. 3 LDA), à la condition qu'il soit nouveau, c'est-à-dire quand, du point de vue des professionnels, il ne peut être qualifié de banal (Tribunal supérieur du canton de Zurich, 11 octobre 2010, Sic! [Revue du droit de la propriété intellectuelle, de l'information et de la concurrence] 2011 p. 230 c. 5.a; Barrelet/Egloff, Le nouveau droit d'auteur. Commentaire de la loi fédérale sur le droit d'auteur et les droits voisins, 3 ème éd., Berne 2008, n. 25 ad art. 2 LDA). En l'espèce, la demanderesse n'a pas entrepris de démontrer que les logiciels développés présentent le degré de nouveauté requis par la loi. Elle n'a rien allégué à cet égard et l'expertise judiciaire est muette sur cette question. Aussi les moyens qu'elle entend déduire de la LDA peuvent-ils être écartés d'emblée. Il reste donc à apprécier le bien-fondé de sa cause sur le terrain contractuel. VI. Le créancier peut exiger de son débiteur la réparation du dommage qui résulte de l'inexécution d'une obligation (art. 97 al. 1 CO). Il lui incombe d'établir la violation de l'obligation, le dommage, ainsi que le rapport de causalité entre l'inexécution de l'obligation et le dommage, la faute du débiteur étant présumée (Weber, Berner Kommentar, Berne 2000, n. 316 ad art. 97 CO; Engel, Traité des obligations en droit suisse, 2 ème éd., Berne 1997, pp. 704 s.). Il ressort de l'état de fait que les défenderesses ont développé le logiciel "I.________" depuis la fin du mois de juillet 2007: à dire d'expert, toutefois, les modifications ont été extrêmement minimes sur le noyau et faible sur le spécifique, seul un module spécifique permettant la liaison entre l'ordinateur et un automate à étiquettes – dont la mise en place a été achevée au mois de juin 2007 – ayant été très légèrement modifié au mois d'août 2007. L'instruction a également permis de constater que le logiciel "I.________" a été apporté en nature à la défenderesse P. S.________ SA. Il faut donc rechercher si, en agissant de la sorte, les défenderesses ont manqué à leurs obligations contractuelles et si, le cas échéant, la demanderesse a encouru un préjudice de ce fait. VII. a)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[Code des obligations; RS 220]). Lorsque les parties ont fixé leurs déclarations sur un support écrit, il faut se fier en premier lieu à la teneur du texte lui-même (ATF 131 III 377 c. 4.2.1, JT 2005 I 612; Wiegand, Basler Kommentar, OR I, 4 ème éd., Bâle 2007, n. 19 ad art. 18 CO). La détermination d'un sens littéral univoque n'exclut toutefois pas la possibilité de recourir à d'autres critères d'interprétation. Il découle en effet de l'art. 18 al. 1 CO que les termes utilisés, même s'ils sont clairs, ne sont pas nécessairement déterminants, ce qui condamne une interprétation purement littérale. Même si la teneur d'une clause contractuelle paraît claire et indiscutable à première vue, il peut résulter du but poursuivi par les parties ou d'autres circonstances que la lettre ne restitue pas exactement le sens de l'accord conclu (ATF 136 III 186 c. 3.2.1, SJ 2010 I 317; ATF 135 III 295 c. 5.2, non rés. in SJ 2009 I 396; ATF 132 III 24 c. 4). Le droit dispositif peut également jouer un rôle: dans la mesure où le législateur opère, en règle générale, une pesée des intérêts en présence, la partie qui entend s'écarter des règles légales doit exprimer sa volonté avec suffisamment de clarté dans le contrat (ATF 126 III 388 c. 9d, JT 2002 I 215 et les arrêts cités; Wiegand, op. cit., n. 39 ad art. 18 CO). Au-delà du texte et du contexte dans lequel les déclarations des parties ont été formulées, il faut encore prendre en compte les circonstances qui ont précédé la conclusion du contrat, à tout le moins si celles-ci étaient reconnaissables également pour des tiers (ATF 131 III 377 c. 4.2.1, JT 2005 I 612, SJ 2005 I 409 et les réf.; Winiger, Commentaire romand, CO I, Bâle 2003, nn. 33-34 ad art. 18 CO). Les circonstances survenues postérieurement à la conclusion du contrat, parmi lesquelles le comportement des parties, constituent, cas échéant, un indice de la volonté réelle de celles-ci (ATF 132 III 626 c. 3.1 et les arrêts cités, JT 2007 I 423; Kramer, Berner Kommentar, Berne 1985, n. 28 ad art. 18 CO). Il n'y a toutefois pas lieu de s'écarter du sens littéral du texte adopté par les intéressés lorsqu'il n'y a aucune raison de penser qu'il ne correspond pas à leur volonté (ATF 136 III 186 précité, SJ 2010 I 317; ATF 135 III 295 c. 5.2; Gauch/Schluep/Schmid/Rey, Schweizerisches Obligationenrecht, AT, 8 ème éd., Zurich 2003, nn. 1220-1221; Engel, op. cit., pp. 236 s.). Le fardeau de la preuve incombe à celui qui soutient que le sens objectif du contrat ne restitue pas la volonté des parties (Wiegand, op. cit., n. 49 ad art. 18 CO; Winiger, op. cit., n. 24 ad art. 18 CO). Si le juge ne parvient pas à déterminer avec sûreté la volonté effective des parties, il recherchera, suivant le principe de la confiance, le sens que les parties pouvaient et devaient donner, selon les règles de la bonne foi, à leurs manifestations de volonté réciproques (ATF 131 III 280 c. 3.1, non rés. in SJ 2005 I 512). b)              Selon la jurisprudence, la qualification d'un contrat portant sur la livraison d'un logiciel informatique dépend des circonstances du cas concret (ATF 124 III 459 c. 4b/bb, JT 2000 I 172, SJ 1999 I 212). Lorsque le contrat ne prévoit que l'utilisation temporaire du logiciel, en échange du paiement de redevances périodiques, il s'analyse généralement comme un contrat de licence (Tercier/Favre, Les contrats spéciaux, 4 ème éd., Genève/Zurich/Bâle 2009, n. 7966 et les réf.). Si les parties ont stipulé la cession définitive d'un logiciel de type standard à l'utilisateur, le contrat s'apparente à une vente (ATF 124 III 459 précité, JT 2000 I 172; Amstutz/Schluep, Basler Kommentar, OR II, 4 ème éd., Bâle 2007, n. 296 ad rem. introductives aux art. 184 ss CO; Koller, Berner Kommentar, Berne 1998, n. 220 ad art. 363 CO). En revanche, celui qui, sur commande et à titre onéreux, développe un logiciel individualisé en fonction des besoins spécifiques de l'utilisateur, est en principe soumis aux règles ordinaires du contrat d'entreprise (Morscher, Software-Überlassungsverträge, in: Softwareverträge, Zurich/Bâle/Genève 2004, pp. 61 ss, spéc. p. 77; Gauch, Le contrat d'entreprise, trad. Benoît Carron, Zurich 1999, n. 334; Bühler, Zürcher Kommentar, Zurich 1997, n. 186 ad art. 363 CO; Page, Le droit de l'informatique: aspects généraux, FJS [Fiches Juridiques Suisses] 1403, Genève 1992, p. 19; Honsell, Standardsoftware- und Sachmängelhaftung, in: Festschrift für Mario M. Pedrazzini, Berne 1990, pp. 313 ss, spéc. p. 314; Barbey, Les contrats informatiques, SJ 1987 pp. 289 ss, spéc. pp. 298 ss). Dans cette hypothèse, la question de savoir si le producteur de logiciel est tenu de remettre au maître le "code source", de manière à lui permettre de maintenir lui-même le programme en état de marche, de l'améliorer ou de continuer son développement, relève de l'interprétation du contrat (Gauch, op. cit., n. 337 et la réf.). c)              En outre, le producteur de logiciel s'engage souvent, à titre accessoire, à entretenir les logiciels qu'il a livrés pendant une période déterminée ou indéterminée: d'aucuns discernent dans un tel accord une succession de contrats d'entreprise (cf. Tribunal cantonal du canton de Vaud, 5 mai 1994, RSJ [Revue Suisse de Jurisprudence] 92/1996 p. 244; Bühler, op. cit., n. 128 ad art. 363 CO), alors que d'autres le qualifient de contrat innommé, dans lequel figurent plusieurs éléments ressortissant au contrat d'entreprise, mais qui s'en distingue en ce sens qu'il s'inscrit dans la durée (Tribunal cantonal du canton de Schwyz, 28 novembre 1989, RSJ 86/1990 p. 379 c. 4; Gauch, op. cit., n. 323). VIII. a)              Les 17 avril et 6 mai 1999, la demanderesse et la défenderesse P. N.________ SA ont conclu un "contrat de support logiciels: "I.________" ", dont l'objet était de régler "les modalités de la maintenance des programmes existants du client et d'assurer (…) leur bon fonctionnement" (art. 1 er ). Le contrat porte sur la maintenance des logiciels "I.________" (art. 2.1) et est conclu pour une durée indéterminée (art. 3). Les prestations de travail de la demanderesse sont rémunérées par des honoraires calculés sur une base horaire; les frais effectifs sont remboursés (art. 4). Outre les tâches de maintenance, le fournisseur se dit prêt, moyennant le paiement d'honoraires, à effectuer des travaux de programmation pour le client, "en particulier des extensions et des nouveaux projets", ces mandats devant être confirmés par la signature d'une formule intitulée "mandat de projet" (art. 7). b)              Plusieurs indices autorisent à conclure que le texte de cet accord, considéré isolément, ne restitue qu'imparfaitement la volonté des parties. Le contrat de support érige l'entretien des logiciels en prestation principale du contrat. Or, à la signature de celui-ci, la demanderesse n'en était qu'au stade de la proposition de la fourniture et du développement d'un programme informatique spécifique "I.________" , de sorte que, à ce moment-là, le service de maintenance promis était dépourvu d'objet. L'instruction a montré qu'au mois d'avril 1999, la demanderesse a proposé à la défenderesse P. N.________ SA de lui fournir et de développer pour elle un programme destiné à l'exploitation des laboratoires d'analyses médicales des sociétés du groupe P.________. Elle lui présentait, dans une lettre, les possibilités qu'offrait un programme sur mesure "I.________" . Le coût du développement d'un tel logiciel était estimé entre 25'000 fr. et 35'000 fr., sans compter "les éventuelles adaptations spécifiques à certains sites autres que [...]". La question de la maintenance et du support des applications développées était abordée de façon succincte: la demanderesse indiquait la possibilité de conclure un contrat de support, tout en précisant que "celui-ci n'est pas sujet à des redevances annuelles" – elle disait en effet avoir pour habitude de ne facturer que les services auxquels le client fait appel. Par la suite, la défenderesse P. N.________ SA a signé, le 21 avril 1999, un mandat de projet portant sur la commande d'un logiciel sur mesure "I.________" correspondant à l'offre du 1 er avril, pour un prix d'environ 30'000 francs. A son art. 10 [recte: 11], le contrat de support des 17 avril et 6 mai 1999 se réfère aux formules "mandat de projet", qui font partie intégrante du contrat. Il s'ensuit logiquement que l'objet principal du contrat n'était pas la maintenance de logiciels existants, mais bien le développement d'un programme informatique individualisé: ce que le contrat de support évoque comme étant une simple possibilité (art. 7) – reléguée dans une annexe du contrat – constituait en réalité l'objet principal de l'accord des parties; à l'inverse, les prestations de maintenance ne revêtaient qu'un caractère accessoire. c)              Le contrat portant sur la livraison et le développement d'un logiciel spécifiquement adapté aux besoins de la défenderesse P. N.________ SA doit être qualifié de contrat d'entreprise au sens des art. 363 ss CO ( supra , c. VII/b), ce que la demanderesse admet d'ailleurs dans son mémoire de droit (p. 5). Cette qualification doit être préférée aux figures juridiques du contrat de licence – dans la mesure où la cession de l'usage du logiciel n'était pas subordonné au versement d'une redevance périodique – et du contrat de vente –, dès lors que le programme était développé sur mesure en fonction des besoins de l'utilisateur. Quant aux prestations de maintenance, on retiendra la figure juridique de la succession de contrats d'entreprise ( supra , c. VII/c) – ce que la demanderesse paraît d'ailleurs admettre également (mémoire, p. 5). Cette solution correspond mieux à l'économie de la convention que celle du contrat de durée innommé, dans la mesure où les parties étaient convenues que seuls les services requis seraient rétribués. IX. La demanderesse prétend que P. N.________ SA aurait cédé sans droit le programme litigieux à la défenderesse P. S.________ SA. A teneur de l'art. 9 du contrat de support, "[l]e client ne peut en aucun cas disposer de ce programme pour le revendre ou le transmettre de quelque manière que ce soit à des tiers". Toutefois, cette clause doit être relativisée, compte tenu de l'avenant signé les 23 et 28 avril 1999, à teneur duquel la demanderesse s'engageait à discuter, avec son partenaire contractuel, des conditions pour la revente éventuelle du programme à un autre laboratoire d'analyses. On peut en déduire que la demanderesse n'avait pas, à elle seule, le pouvoir de disposer du logiciel développé spécifiquement pour les défenderesses et que celles-ci avaient aussi leur mot à dire à ce sujet. Quoi qu'il en soit, la cour a constaté que, dès le début de leurs relations, les parties sont convenues que le logiciel serait utilisable librement dans tous les laboratoires d'analyses de toutes les sociétés du groupe P.________. Cette possibilité était d'ailleurs évoquée dans la lettre que la demanderesse a adressée à P. N.________ SA au mois d'avril 1999, dans laquelle elle indiquait que les éventuelles adaptations spécifiques à certains sites autres que [...] n'étaient pas comprises dans l'estimation du prix. Dès l'automne 1999, le progamme spécifique développé pour le compte de P. N.________ SA a été utilisé, au su et au vu de la demanderesse, dans les laboratoires d'analyses médicales exploités par les défenderesses à [...], [...], [...], [...], [...], [...] et [...] ( supra , ch. 4b). Toutes les défenderesses ont participé au financement du programme informatique spécifique développé pour elles. A la demande de B.________, responsable financier des défenderesses, la demanderesse a accepté, en connaissance de cause, de délivrer une attestation de la valeur du programme spécifique qui devait être apporté en nature à la défenderesse P. S.________ SA. Il s'ensuit que, contrairement à ce que plaide la demanderesse, le programme informatique spécifique était destiné à être utilisé par toutes les filiales du groupe P.________, de sorte que la défenderesse P. N.________ SA n'a pas contrevenu à ses engagements en mettant ledit programme à la disposition de la défenderesse P. S.________ SA. Dans cette mesure, les prétentions de la demanderesse se révèlent infondées. X. La demanderesse affirme que, dès le 1 er août 2007, les défenderesses ont violé leurs obligations contractuelles en continuant d'utiliser le logiciel informatique "I.________" et en le modifiant sans recourir à ses services. Il s'agit donc d'établir, dans un premier temps, quelles étaient, en cette matière, les prérogatives des défenderesses à teneur du contrat initial (a), avant d'examiner si et dans quelle mesure les droits de ces dernières ont été modifiés du fait de la résiliation, par la demanderesse, du contrat de travail de M.________ et de l'engagement de celui-ci au service du groupe P.________ (b). a)              Initialement, les droits respectifs de la demanderesse et de la défenderesse P. N.________ SA en lien avec le programme spécifiquement développé pour elle ont été réglés à l'art. 9 du contrat de support logiciels, intitulé "Protection intellectuelle". aa)              En ce qui concerne le droit d'utiliser le programme informatique spécifique, le texte de la clause n. 9 paraît à première vue contradictoire: selon le premier alinéa, "les modules développés spécialement sur mesure pour le client ne sont pas soumis à un droit de licence si ceux-ci sont utilisés sur plusieurs postes de travail différents au sein de l'entreprise", alors que le deuxième paragraphe prévoit, sur un mode plus restrictif, que "[l]es programmes développés restent, en tout temps, la propriété totale de J. et M.________" et que "J. et M.________ facture au client le développement souhaité et concède de ce fait un droit d'utilisation valable sur un seul ordinateur". On comprend toutefois, en lisant la suite de la clause, qu'en se réservant en tout temps la "propriété" du logiciel spécifiquement développé pour les défenderesses, la demanderesse avait principalement en vue le droit de le modifier ou d'en disposer, et non pas celui d'en user. En outre, il est établi que l'utilisation du programme n'était pas subordonnée au paiement d'une redevance périodique, ce qui a permis d'écarter la figure juridique du contrat de licence ( supra , c. VIII/c). Le droit d'utilisation était intimement lié au paiement de l'ouvrage commandé par la défenderesse P. N.________ SA ("J. et M.________ facture au client le développement souhaité et concède de ce fait un droit d'utilisation valable sur un seul ordinateur"). Le programme ayant été payé, on voit mal à quel titre la demanderesse pouvait faire dépendre l'usage du programme du maintien du contrat. La défenderesse P. N.________ SA et les autres sociétés du groupe P.________ n'auraient certainement pas investi dans le développement d'un logiciel "sur mesure" quelque 393'000 francs ( supra , ch. 4c) si elles avaient su qu'elles ne pourraient plus l'utiliser à la fin des relations contractuelles. Une telle solution, qui apparaît en porte-à-faux avec le but et l'économie du contrat d'entreprise conclu par les parties, doit être rejetée. Les défenderesses pouvaient continuer d'utiliser le logiciel spécifiquement développé pour elles, même après que le contrat les liant à la demanderesse eut pris fin et indépendamment du point de savoir de quelle manière les parties y ont mis un terme. bb) La question de savoir si les défenderesses avaient acquis le droit de modifier le logiciel de manière autonome appelle une réponse différente. Le contrat de support interdisait expressément à la défenderesse P. N.________ SA de le faire modifier par un tiers (art. 9, 2 ème §). Comme on l'a vu, dire si le producteur du logiciel est tenu de remettre à l'utilisateur le "code source", de manière à lui permettre de maintenir lui-même le programme en état de marche, de l'améliorer ou de continuer son développement, relève de l'interprétation du contrat ( supra , VII/b). Les deux solutions sont ainsi parfaitement compatibles avec le but et l'économie d'un contrat d'entreprise portant sur le développement d'un logiciel individualisé. En l'espèce, aucun indice ne permet de douter que, sur ce point, le texte contractuel restitue la véritable et commune volonté des parties. Cette problématique n'a d'ailleurs jamais été abordée au cours des pourparlers contractuels. Force est donc de s'en tenir au sens objectif de la clause litigieuse et de reconnaître qu'en l'état initial du contrat, les défenderesses n'avaient pas le droit de modifier elles-mêmes les programmes qu'elles avaient commandés. Il reste à examiner si l'entrée de M.________ au service des sociétés du groupe P.________ a eu un impact sur cette interdiction. b)              Le transfert de M.________ est intervenu alors que la demanderesse connaissait des difficultés financières importantes. Elle a dû se résoudre à se séparer de M.________, avec l'objectif de garantir la survie de l'entreprise et la pérennité de ses emplois. La demanderesse savait que M.________ avait l'opportunité d'intégrer le groupe P.________. La solution présentait le double avantage d'"assurer les arrières" de celui-ci, tout en permettant à la demanderesse de réduire ses charges ( supra , ch. 7b). Elle impliquait cependant nécessairement que la demanderesse accepte de renoncer à la clientèle des défenderesses, sacrifice que, de bonne foi, elle ne pouvait occulter. D'ailleurs, comme cela ressort de la lettre de résiliation du contrat de travail du 9 juillet 2007, la demanderesse savait que M.________ rejoignait la défenderesse P. N.________ SA "pour y assurer, entre autres, la maintenance et le suivi du programme "I.________" développé par K.________ Sàrl", même si elle se réservait de régler les droits et obligations y relatifs dans un document séparé ( supra , ch. 7c, § 2). Quand elle écrivait, dans cette même lettre, que "[l]e noyau standard du logiciel "I.________" (…) ainsi que toutes les sources des programmes sur mesure développés pour nos clients jusqu'à ce jour, restent notre propriété totale" ( supra , ch. 7c, § 9), elle admettait, a contrario , qu'à l'avenir, les défenderesses pourraient perfectionner le logiciel "I.________" en y ajoutant tel ou tel élément sur lequel elle n'aurait aucun droit. Il faut en déduire qu'à ce moment-là déjà, la demanderesse avait accepté que les défenderesses, par l'intermédiaire de M.________, développeraient désormais de manière autonome le programme qu'elle avait conçu pour elles. D'ailleurs, le second projet de résiliation du contrat de support, rédigé par la demanderesse, vient confirmer a posteriori l'existence de ce consentement: en effet, la demanderesse s'y disait prête à abandonner "toutes prétentions sur les logiciels "I.________" développés jusqu'à ce jour et installés au sein du groupe P.________", ainsi que ses prétentions "sur les quelques anciens modules du noyau (…) et qui font partie intégrante du programme P.________". Partant, en acceptant que M.________ rallie la défenderesse P. N.________ SA pour y assurer la maintenance et le suivi du programme "I.________" , la demanderesse a, dans le même temps et par actes concluants, renoncé à se prévaloir de l'interdiction de modifier ce programme que renfermait le contrat de support logiciels des 17 avril et 6 mai 1999. L'absence de forme écrite – nécessaire à teneur de l'art. 10 du contrat, pour toutes les annexes et compléments – ne fait pas obstacle à cette solution, dès lors que l'annulation ou la réduction d'une créance ne suppose l'observation d'aucune forme spéciale (art. 115 CO). Il s'ensuit que les défenderesses n'ont violé aucune obligation contractuelle en développant – qui plus est faiblement – le logiciel "I.________" depuis le mois de juillet 2007. Pour le surplus, même si le consentement subjectif de la demanderesse n'avait pu être établi à satisfaction de droit, les défenderesses pourraient de toute manière invoquer utilement l'interprétation selon le principe de la confiance ( supra , c. VII/a). Constatant que la demanderesse acceptait que M.________ intègre leur giron, elles pouvaient de bonne foi en déduire que la demanderesse leur reconnaissait le droit de modifier elles-mêmes le programme informatique spécifiquement réalisé pour elles. A défaut, l'engagement de M.________ n'aurait fait aucun sens. En outre, les réserves que J.________ a formulées à cet égard dans la lettre de résiliation destinée à son associé, outre que leur objet n'était pas clairement déterminé, ne sont pas opposables aux défenderesses, dès lors qu'il n'est pas démontré qu'elles en ont eu connaissance. XI. Au demeurant, à supposer que la demanderesse ait pu établir les violations contractuelles qu'elle allègue, ses conclusions n'en seraient pas moins vouées à l'échec, dès lors qu'elle a échoué à prouver le dommage que ces prétendus manquements lui auraient causé. a)              De jurisprudence constante, le dommage correspond à la différence entre le montant actuel du patrimoine et le montant que celui-ci aurait atteint si l'événement dommageable ne s'était pas produit (ATF 132 III 359 c. 4, JT 2006 I 295 et la jurisprudence citée; ATF 120 II 296 c. 3b, rés. in JT 1995 I 381 et la jurisprudence citée). Le dommage consiste en une perte éprouvée ( damnum emergens ) – soit la diminution des actifs ou augmentation des passifs – ou en un gain manqué ( lucrum cessans ) – soit la non-augmentation des actifs (Werro, Commentaire romand, CO I, n. 13 ad art. 41 CO; Thévenoz, Commentaire romand, CO I, n. 30 ad art. 97 CO). b)              La demanderesse soutient qu'en développant le logiciel "I.________" depuis le transfert de M.________, les défenderesses se sont appropriées illégitimement le programme litigieux. Elle réclame donc le paiement d'une somme de 250'000 fr., qui équivaut, selon elle, à la valeur du noyau du logiciel "I.________" . L'expert a estimé que la création du noyau de ce logiciel avait coûté à la demanderesse 125'000 francs. En revanche, il n'a pas pu confirmer le chiffre de 250'000 fr. articulé par la demanderesse comme prix de vente du noyau, dès lors qu'à sa connaissance, cet élément n'avait jamais été vendu à ce prix. Quoi qu'il en soit, la valeur du logiciel importe peu en l'espèce. En utilisant et en développant de manière autonome le programme à compter du 1 er août 2007, les défenderesses n'ont pas entamé les actifs de la demanderesse, ni n'ont grevé les passifs de celle-ci. La demanderesse n'a pas allégué – ni, a fortiori , établi – que le comportement des défenderesses aurait eu pour conséquence de l'empêcher d'utiliser le noyau du programme "I.________" ou d'en disposer comme bon lui semblait. Dans un tel cas de figure, le propriétaire d'un programme informatique peut tout au plus exiger d'un utilisateur non autorisé l'indemnisation d'un éventuel gain manqué. Or, on l'a vu, l'utilisation du logiciel n'était pas subordonné au paiement d'une redevance périodique, de sorte que le comportement des défenderesses, même supposé illicite, ne pouvait pas priver la demanderesse d'un gain auquel elle ne pouvait, en tout état de cause, pas prétendre. En revanche, dans la mesure où les mandats de projet étaient facturés aux défenderesses, la demanderesse aurait pu plaider que les travaux de développement exécutés par M.________ après le 1 er août 2007 l'ont privé d'un gain. Toutefois, s'il est établi que, dans le courant du mois d'août 2007, les défenderesses ont entrepris de modifier le module spécifique permettant la liaison entre l'ordinateur et un automate à étiquettes, on ignore le montant que la demanderesse aurait perçu pour un tel travail s'il lui avait été confié et, par conséquent, le gain net qu'elle aurait pu réaliser à ce titre. Comme on l'a rappelé, la demanderesse doit supporter l'échec de cette preuve ( supra , c. VI). c)              La demanderesse évalue le dommage que lui aurait occasionné la cession prétendument indue du programme spécifique à la défenderesse P. S.________ SA à 210'000 francs. Ce chiffre a été articulé par l'expert comme représentant le coût du développement spécifique du logiciel "I.________" pour une société dont l'activité professionnelle et le volume de clientèle est semblable à ceux des défenderesses; selon le rapport d'expertise, il correspond à ce que celles-ci ont payé pour la réalisation du programme informatique individualisé. Ici encore, seule l'indemnisation d'un gain manqué est envisageable. En effet, l'apport du logiciel à P. S.________ SA n'a pas affecté les actifs ou les passifs de la demanderesse. Tout au plus aurait-elle pu réaliser un bénéfice si P. S.________ SA avait recouru à ses services pour l'installation et l'adaptation du programme. Or, ce bénéfice hypothétique n'est pas l'équivalent du prix qu'ont payé les défenderesses pour l'installation et le développement du logiciel spécifique. D'une part, si les prestations exécutées sur trois sites différents, en faveur des trois défenderesses P. N.________ SA, P. L.________ SA et P. H.________ AG, ont coûté à celles-ci en tout et pour tout 210'000 fr., on peine à croire que la demanderesse aurait pu réclamer un tel montant en échange de prestations offertes à la seule P. S.________ SA. En outre, le prix payé par les défenderesses ne constitue qu'un bénéfice brut, dont il faut encore déduire, pour déterminer le gain de la demanderesse, les charges de celle-ci. Il s'ensuit que le dommage qu'aurait encouru la demanderesse du fait de l'apport du programme spécifique à P. S.________ SA ne peut être déterminé avec la précision requise. Pour ce motif supplémentaire, les conclusions de la demanderesse doivent être rejetées. XII. Au troisième chef de ses conclusions (ch. 1, let. c), la demanderesse réclame le versement d'une indemnité de 225'000 francs, qu'elle déduit de l'art. 377 CO, en faisant valoir qu'au mois de juillet 2007, la défenderesse P. N.________ SA aurait résilié le contrat alors que l'ouvrage n'était pas terminé. a)              L'art. 377 CO autorise le maître à se départir du contrat d'entreprise, tant que l'ouvrage n'est pas terminé, en payant le travail fait et en indemnisant complètement l'entrepreneur. Le droit de résiliation du maître existe jusqu'à l'achèvement des travaux (Gauch, op. cit., n. 524). La preuve du fait que le contrat a été résilié de façon anticipée par le maître et du moment où cette résiliation est intervenue incombe à celui qui s'en prévaut (Chaix, Commentaire romand, CO I, Bâle 2003, n. 22 ad art. 377 CO; Gauch, op. cit., n. 581). L'indemnité due par le maître couvre les frais que l'entrepreneur a engagés et qui deviennent sans objet, ainsi que le bénéfice manqué (ATF 96 II 192 c. 5, JT 1971 I 174; Bühler, op. cit., n. 32 ad art. 377 CO). b)              L'instruction de la cause ne permet pas de retenir que la défenderesse P. N.________ SA a résilié unilatéralement le contrat qui la liait à la demanderesse. Celle-ci ne peut d'ailleurs guère prétendre qu'elle aurait été privée de la possibilité d'achever les travaux commandés, dès lors que, on l'a vu ( supra , c. X/b), elle a implicitement accepté, lorsqu'elle s'est séparée de M.________, que, désormais, les défenderesses maintiendraient et développeraient elles-mêmes le logiciel "I.________" . Pour ce motif déjà, la prétention en paiement d'une indemnité selon l'art. 377 CO est mal fondée. c)              En outre, le paiement d'une indemnité en cas de résiliation unilatérale du contrat d'entreprise présuppose que l'ouvrage ne soit pas achevé au moment où la prétendue résiliation est intervenue. Or, s'il ressort du rapport d'expertise qu'un module spécifique permettant la liaison entre l'ordinateur et un automate à étiquettes a été définitivement installé chez les défenderesses au mois de juin 2007, il n'a pas été établi qu'un travail de développement ou de maintenance du logiciel "I.________" , commandé par P. N.________ SA ou les autres défenderesses, était en cours d'exécution au mois de juillet encore, lorsque la résiliation alléguée est censée être intervenue. La demanderesse, qui se prévaut d'une résiliation anticipée, doit supporter l'échec de cette preuve. d)              Enfin, la demanderesse n'a pas établi la quotité de l'indemnité qu'elle réclame. Pour justifier le montant de 225'000 fr. qui figure dans ses conclusions, elle se réfère, à teneur de son mémoire de droit, aux versements opérés entre le 1 er janvier 2004 et le 18 juillet 2007 par les défenderesses P. N.________ SA, P. L.________ SA et P. H.________ AG, qu'elle mensualise pour en déduire ensuite les montants que les défenderesses auraient dû lui payer pour la maintenance et le développement du logiciel si le contrat n'avait pas pris fin au 31 juillet 2007. Toutefois, les chiffres articulés par la demanderesse ne ressortent pas de l'état de fait tel qu'il a été arrêté par la Cour civile. Certes, il est établi que le programme informatique développé spécifiquement pour les sociétés du groupe P.________ leur a coûté, entre le mois d'avril 1999 et le 31 juillet 2007, la somme de 393'693 fr. 05 ( supra , ch. 4c). Mais il serait arbitraire de déduire de ce chiffre le gain qu'aurait réalisé la demanderesse si le contrat n'avait pas pris fin au 31 juillet 2007. D'une part, comme on l'a déjà dit, le prix payé par les défenderesses correspond à un bénéfice brut: pour déterminer le gain manqué par la demanderesse, il convient encore de retrancher de ce montant les frais qu'elle aurait dû engager pour l'obtenir, respectivement l'économie qu'elle a réalisé du fait de la résiliation anticipée, ce qui est exclu en l'espèce, faute d'allégués topiques. D'autre part, les montants payés par les défenderesses auraient pu servir de base de calcul si les parties étaient convenues que les services de maintenance et de développement offerts par la demanderesse seraient rétribués par le biais d'une redevance périodique et constante. Or, tel n'est pas le cas en l'espèce, si bien que la demanderesse ne peut rien déduire des versements opérés par les défenderesses. Il lui incombait bien plutôt d'alléguer que les défenderesses auraient continué de lui commander des développements spécifiques dans la même mesure que par le passé, ce qu'elle a omis de faire. Pour ce motif encore, ce chef de conclusions doit être rejeté. XIII. La demanderesse conclut également au paiement d'un montant de 20'000 fr. "pour l'utilisation des licences "Z.________"" (ch. 1, let. d). a)              Il ressort de l'instruction que les défenderesses ont certainement utilisé la licence "Z.________" de la demanderesse pendant quelques jours, jusqu'à ce qu'une autre licence soit mise à l'essai par Z.________ Software Enterprises, le 10 septembre 2007. Cette licence provisoire était valable jusqu'à la fin du premier semestre 2008. Au mois de mai de cette année, M.________ a acheté une licence V9 définitive. En outre, il est constant que la licence "Z.________" V10 achetée au mois de juillet 2007 autorisait les défenderesses à faire du downgrading , soit des développements en V9, de sorte que les défenderesses étaient, depuis cette date, parfaitement en règle quant à leur droit de faire des développements en V9, bien qu'elle n'aient pas changé immédiatement, comme elles l'auraient dû, les numéros de licence "Z.________" . b)              On distingue mal le fondement sur lequel la demanderesse entend asseoir sa prétention, qu'elle ne reprend d'ailleurs pas dans son mémoire de droit. Qu'elle soit exclusive ou simple, la licence ne produit que des effets relatifs entre les parties au contrat (Tercier/Favre, op. cit., n. 7963; Barrelet/Egloff, op. cit., n. 2a ad 16 LDA). Il s'ensuit que la demanderesse ne peut faire valoir les droits issus de la licence "Z.________" V9 qu'à l'encontre de la société qui la lui a concédée, soit Z.________ Software Enterprises. Or la violation du droit relatif dont est titulaire un tiers ne constitue pas un acte illicite; elle est donc impropre à engager une quelconque responsabilité délictuelle (Brehm, Berner Kommentar, Berne 2006, n. 38 ad art. 41 CO). Au surplus, on ne voit pas quel dommage la demanderesse aurait souffert du fait de l'utilisation, par les défenderesses, de son numéro de licence "Z.________" . La demande se révèle ainsi mal fondée sur ce point également. XIV. La demanderesse réclame enfin, au dernier chef de ses conclusions (ch. 1, let. e), le paiement de 2'000 fr. "à titre de dépens de mesures provisionnelles payés à tort" et de 2'000 fr. "à titre de dépens de mesures provisionnelles". L'ordonnance de mesures provisionnelles du 18 décembre 2007, aux termes de laquelle le président du tribunal a condamné la demanderesse à payer 2'000 fr. de dépens aux défenderesses, est devenue définitive, aucun appel ou recours n'ayant été déposé (cf. art. 109, 110 et 111 CPC-VD; Tappy, Quelques aspects de la procédure de mesures provisionnelles, spécialement en matière matrimoniale, in JT 1994 III 34, spéc. 60). Partant, la demanderesse ne peut pas remettre en cause l'ordonnance de mesures provisionnelles devant la cour de céans. Sa conclusion, qui heurte l'autorité de chose jugée dont est parée ladite ordonnance, ne peut qu'être rejetée. XV. Par voie de reconvention, les défenderesses concluent au paiement des frais d'avocat qu'elles ont engagés pour leur défense avant procès, notamment en lien avec la procédure de mesures provisionnelles. a)              En droit de la responsabilité civile, les frais engagés par la victime pour la consultation d'un avocat avant l'ouverture du procès civil peuvent constituer un élément du dommage, lorsque cette démarche était nécessaire et adéquate, et pour autant que ces frais n'aient pas été inclus dans les dépens (ATF 133 II 361 c. 4.1; TF 4C.51/2000 du 7 août 2000 c. 2, publié in SJ 2001 I 153; Werro, La responsabilité civile, Berne 2005, n. 1002). On admet aussi, sous les mêmes conditions, que le créancier qui poursuit l'exécution d'une prestation contractuelle peut obtenir de son débiteur le remboursement de ses frais d'avocat (Weber, op. cit., n. 207 ad art. 97 CO et n. 23 ad art. 103 CO, ainsi que les réf.). b)              On ne se trouve pas, en l'espèce, dans le cadre d'un procès en responsabilité civile et les défenderesses ne poursuivent pas non plus l'exécution d'une prestation contractuelle. On voit mal, dès lors, à quel titre la demanderesse devrait indemniser les défenderesses des frais qu'elles ont engagés pour se défendre. Les défenderesses n'en disent rien dans leur mémoire de droit. De surcroît, elles ont obtenu des dépens dans la procédure de mesures provisionnelles, ce qui, dans un procès en responsabilité civile, empêcherait d'allouer un tel poste de dommage. Il s'ensuit que les conclusions reconventionnelles doivent être rejetées. XVI. a) Selon l'art. 92 al. 1 CPC-VD, des dépens sont alloués à la partie qui obtient gain de cause. Le juge doit rechercher lequel des plaideurs gagne le procès sur le principe, et non pas répartir les dépens proportionnellement aux montants alloués (Poudret/Haldy/Tappy, op. cit., n. 3 ad art. 92 CPC-VD). Les dépens comprennent principalement les frais de justice payés par la partie, les honoraires et les débours de son avocat (art. 91 litt. a et c CPC-VD). Les frais de justice englobent l'émolument de justice, ainsi que les frais de mesures probatoires. Selon le tarif du</w:t>
      </w:r>
    </w:p>
    <w:p>
      <w:r>
        <w:rPr>
          <w:b/>
        </w:rPr>
        <w:t>E. 17</w:t>
      </w:r>
    </w:p>
    <w:p>
      <w:r>
        <w:t>juin 1986 des honoraires d'avocat dus à titre de dépens (TAv, abrogé par l'entrée en vigueur, le 1 er janvier 2011, du tarif des frais judiciaires en matière civile du 28 septembre 2010 [TFJC, RSV 270.11.5], mais qui demeure applicable en vertu de l'art. 99 al. 1 TFJC), les honoraires d'avocat sont fixés en considération des difficultés de la cause et de la complexité des questions de fait et de droit débattues (art. 3 TAv), entre les minima et les maxima arrêtés pour chaque opération à l'art. 2 al. 1 TAv. En plus des honoraires de l'avocat, les dépens comprennent les frais et les émoluments de l'office payés par la partie, ainsi que les déboursés d'avocat arrêtés globalement (art. 7 TAv). b)              En l'occurrence, les défenderesses ont vu leurs conclusions libératoires entièrement accueillies. D'autre part, le demandeur s'est opposé avec succès aux conclusions reconventionnelles des défenderesses, lesquelles ne représentaient toutefois qu'un enjeu très secondaire du procès. En définitive, compte tenu de l'importance respective des questions litigieuses, les défenderesses ont droit à des dépens réduits d'un dixième, qu'il convient d'arrêter à 36'132 fr. 80 , savoir: a) 18'000 fr. à titre de participation aux honoraires de son conseil; b) 900 fr. pour les débours de celui‑ci; c) 17'232 fr. 80 en remboursement des 9/10 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