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105 vom 8. Februar 2011</w:t>
      </w:r>
    </w:p>
    <w:p>
      <w:r>
        <w:t>VD Tribunal cantonal, 2011-02-08, FR</w:t>
      </w:r>
    </w:p>
    <w:p>
      <w:r>
        <w:rPr>
          <w:b/>
        </w:rPr>
        <w:t xml:space="preserve">Quelle: </w:t>
      </w:r>
      <w:r>
        <w:t>https://mcp.opencaselaw.ch/entscheid/vd_findinfo_Jug___2011___105</w:t>
      </w:r>
    </w:p>
    <w:p>
      <w:r>
        <w:t>FR: VD_FINDINFO Jug / 2011 / 105 du 8 février 2011</w:t>
      </w:r>
    </w:p>
    <w:p>
      <w:r>
        <w:t>IT: VD_FINDINFO Jug / 2011 / 105 del 8 febbraio 2011</w:t>
      </w:r>
    </w:p>
    <w:p>
      <w:pPr>
        <w:pStyle w:val="Heading2"/>
      </w:pPr>
      <w:r>
        <w:t>Regeste</w:t>
      </w:r>
    </w:p>
    <w:p>
      <w:r>
        <w:t>UTILISATION FRAUDULEUSE D'UN ORDINATEUR, PEINE, ATTÉNUATION DE LA PEINE | 147 al. 2 CP, 47 CP, 398 al. 3 let. a CPP (CH), 398 al. 3 let. b CPP (CH), 399 al. 3 CPP (CH), 399 al. 4 CPP (CH)</w:t>
      </w:r>
    </w:p>
    <w:p>
      <w:pPr>
        <w:pStyle w:val="Heading2"/>
      </w:pPr>
      <w:r>
        <w:t>Erwägungen</w:t>
      </w:r>
    </w:p>
    <w:p>
      <w:r>
        <w:rPr>
          <w:b/>
        </w:rPr>
        <w:t>E. 2</w:t>
      </w:r>
    </w:p>
    <w:p>
      <w:r>
        <w:t>L’appelante, dans une argumentation sommaire, requiert de ne pas exécuter une peine qui la priverait de sa liberté, alors qu’elle affirme s’efforcer, en particulier par son activité professionnelle, de s’insérer socialement. Dans sa déclaration du 23 mars 2011, elle indique "[…] ne s'opposer nullement au juste jugement du tribunal de police, mais juste espérer une autre possibilité de subir la peine sans privation de liberté […]".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(ATF 129 IV 6 c. 6.1, p.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129 IV 6, op. cit.).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arrêt 6B_234/2010 du 4 janvier 2011 c. 4.1.1). L'art. 41 CP pose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(cf. ATF 134 IV 5 c. 4.2.1; ATF 128 IV 193 c. 3a; 118 IV 97 c. 2b). Le sursis est désormais la règle dont on ne peut s'écarter qu'en présence d'un pronostic défavorable. Il prime en cas d'incertitude (cf. ATF 134 IV 5 c. 4.2.2). 3.2. En l'espèce, l'autorité de première instance a apprécié la gravité de la faute de l’appelante en tenant compte des critères légaux et jurisprudentiels rappelés ci-dessus. A raison, elle a considéré que la culpabilité de la prévenue était lourde dès lors qu'elle n’avait pas hésité à tromper la confiance d’une victime particulièrement vulnérable, parce qu’handicapée. A charge, le Tribunal a également tenu compte des antécédents pénaux d'Q.________, qui a été condamnée par deux fois pour des infractions contre le patrimoine entre 2001 et 2008; il a estimé qu’ils devaient peser de manière importante dans la quotité de la peine. A décharge, le premier juge a pris en considération la situation personnelle de la prévenue, ainsi que la convention civile passée lors du procès, soit son engagement à dédommager la victime. Le tribunal n’a ainsi pas tenu compte d’éléments étrangers à l’art. 47 CP. Les éléments retenus, à charge et à décharge, sont pertinents. Au surplus, aucun élément déterminant au regard de l’art. 47 CP n’a été omis, respectivement ne s’est vu conférer une portée excessive ou insuffisante. La peine prononcée se situe dans le cadre légal, s’agissant de l’infraction ici en cause (l’utilisation frauduleuse d’un ordinateur) que l’art. 147 CP réprime d’une peine privative de liberté de cinq ans au plus ou d’une peine pécuniaire. Le droit n’est ainsi pas violé. 3.3 S'agissant du genre de peine à infliger, le premier juge a renoncé à prononcer une peine pécuniaire, arguant que seule une courte peine privative de liberté était adéquate, compte tenu des antécédents de l'intéressée. S'il est vrai qu' Q.________ s'est déjà vue condamnée à trois reprises en matière d'infractions contre le patrimoine, et qu'elle est jugée dans la présente procédure pour une récidive de l'infraction à l'art. 147 CP (utilisation frauduleuse d'un ordinateur), on ne se trouve pas encore dans le cas où une peine pécuniaire devrait être exclue pour des motifs de prévention spéciale (TF du 14 juin 2011, 6B_128/2011, c. 3.4), dès lors qu'il ne ressort pas du dossier que l'intéressée serait insensible à toute forme de sanction. On relèvera, au demeurant, qu'une peine pécuniaire est exécutable en l'espèce et qu'elle ne prive pas la prévenue du nécessaire, voire de l'indispensable. En effet, Q.________ est au bénéfice d'un permis C; elle a été engagée comme aide infirmière pour une durée indéterminée et gagne un salaire horaire de 28 fr. bruts. Au vu de ce qui précède, et pour respecter le principe de la proportionnalité (cf. supra, c. 3.1), il convient d'infliger à l'appelante une peine pécuniaire plutôt qu'une courte peine privative de liberté, comme l'a décidé le premier juge en violation de l'art. 41 CP. Ce grief est bien fondé. Il doit être admis. Le jugement entrepris doit donc être réformé sur ce point. 3.3.1 L'art. 34 al.1 CP prévoit que, sauf disposition contraire de la loi, la peine pécuniaire ne peut excéder 360 jours-amende. Le juge fixe leur nombre en fonction de la culpabilité de l’auteur. Un jour-amende correspond à un jour de peine privative de liberté (art. 36 al.1 deuxième phrase CP). Dans le cas présent, la quotité de la peine (5 mois) ne viole pas le droit fédéral (cf. supra, c. 3.2). La prévenue se verra donc infliger une peine de 150 jours-amende. 3.3.2 D'après l'art. 34 al.2 CP, le jour-amende s'élève à 3'000 fr. au plus. Le juge en fixe le montant selon la situation personnelle et économique de l'auteur au moment du jugement, en tenant compte notamment de son revenu et de sa fortune, de son mode de vie, de ses obligations d'assistance, en particulier familiales, et du minimum vital. Pour fixer le montant du jour-amende, il convient de partir du revenu que l'auteur réalise en moyenne chaque jour quelle qu'en soit la source (cf. ATF 116 IV 4 c.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(Message 1998 p. 1824). Parmi les critères pertinents, la loi mentionne aussi la fortune. Cette dernière ne peut entrer en considération pour fixer le montant unitaire des jours-amende qu'à titre subsidiaire, lorsqu'il existe une disproportion particulièrement marquée entre les revenus et la fortune de l'auteur. De la somme de ces revenus, le juge arrivera au revenu moyen net en déduisant, en principe, les contributions sociales (AVS, AI, APG, assurance chômage), les impôts courants, les primes d'assurance-maladie et accident obligatoires, ainsi que les frais professionnels indispensables (Message 1998 p. 1824). Du point de vue temporel, la situation déterminante est celle qui prévaut durablement au moment du jugement (art. 34 al. 2 2ème phrase CP). Cela signifie que le juge doit établir les ressources économiques de l'auteur de manière aussi précise et actualisée que possible, en ayant en vue le moment où le paiement devra intervenir. Parmi les éléments à déduire, le juge doit encore tenir compte, des obligations d'assistance, en particulier familiales, de l'auteur, calculées selon les règles du droit de la famille (Message 1998 p. 1825). Les charges supplémentaires ne peuvent être prises en considération que dans le cadre de l'examen de la situation personnelle de l'auteur, au sens de l'art. 47 al. 1 CP. Ainsi, les principaux engagements financiers que l'auteur avait pris avant l'infraction (p. ex. le paiement de mensualités pour des biens de consommation) sont sans pertinence. De même, les intérêts hypothécaires et les frais de logement ne peuvent en principe pas être déduits (arrêt 6B_366/2007 du 17 mars 2008, c. 6.4, destiné à la publication). Les dettes qui découlent directement ou indirectement de l'infraction (dommages-intérêts, indemnité pour tort moral, frais de justice, etc.) n'ont pas davantage à être portées en déduction. Le fait que l'auteur s'est reconnu débiteur du lésé et qu'il a déjà commencé à l'indemniser doit être pris en considération, le cas échéant, pour statuer sur la circonstance atténuante du repentir sincère (art. 48 let. d CP) et pour émettre un pronostic concernant l'octroi du sursis (art. 42 al. 1-3 CP). Mais ce fait ne peut exercer aucune influence sur la fixation du montant du jour-amende (arrêt 6B_366/2007 du 17 mars 2008, c. 6.4, destiné à la publication). En revanche, des charges financières exceptionnellement lourdes peuvent être portées en déduction lorsqu'elles correspondent à des besoins financiers plus élevés que la normale, dus à une situation ou à un destin très particulier de l'auteur (arrêt 6B_366/2007 du 17 mars 2008, c. 6.4). En l'espèce, le salaire net réalisé par Q.________ se monte à 3'402 fr. 40 comme le démontre la fiche de salaire du mois d'avril 2011 produite dans la présente procédure (pièce no 21) dont l'exactitude a été confirmée aux débats. Il s'agit d'un salaire moyen (procès-verbal p. 4). De ce revenu, il faut déduire, sur la base des chiffres plausibles avancés par la prévenue, les primes d'assurance-maladie (390 fr.), ainsi que des frais d'acquisition du revenu (102 fr. par mois), de même que les dettes d'impôts; on retiendra à ce titre 4'000 francs. Les dettes privées (50'000 fr.) et celles découlant des infractions commises (convention civile, TIG converti en jours-amende) n'entrent pas en considération. Sur la base de ce qui précède, le montant du jour-amende peut, en l'espèce, être arrêté à 30 fr. par jour pour tenir compte de l'ensemble des éléments figurant ci-dessus. 3.4 L'appelante évoque la question du sursis. A ce sujet, le jugement entrepris indique que, le pronostic étant "[…] entièrement défavorable […]", seule une peine ferme entre en considération "[…] pour sanctionner le plus efficacement possible l'accusée […]" (cf. p.7). Or, les indications fournies devant l'autorité de céans permettent de revoir cette appréciation. Il apparaît, en effet, que l'appelante a été engagée comme aide infirmière pour une durée indéterminée et qu'elle a de bonnes perspectives professionnelles (cf. courrier de la S.________ du 18 mai 2011; pièce no 27). Elle vit chez sa mère et peut compter, depuis trois ans, sur le soutien moral et financier de son ami [...].Q.________ ne se trouve donc plus dans la situation économique difficile de l'époque de ses premières condamnations, pas plus que sous la pression familiale qui l'avait poussée à voler. En outre, elle s'est remise en question et a pris conscience de ses responsabilités (procès-verbal, p. 5); elle dédommage la victime en lui versant, depuis le mois de janvier 2011, les montants prévus par la convention civile passée en première instance; elle purge ses peines pécuniaires dans la mesure de ses moyens (procès-verbal, p 4). En considération de ce qui précède, en particulier de l'évolution de la situation de la prévenue, le pronostic n'est pas défavorable. Un sursis peut donc être accordé à Q.________. 3.5 Dès lors qu'au vu de sa personnalité et des relations qu'elle a avec sa famille restée en Afrique, la prévenue reste fragile, un délai d'épreuve de trois ans paraît adéquat pour prévenir efficacement de tout risque de récidive (art. 44 al.1 CP et TF 6B_16/2009 du 14 avril 2009 c.2). En outre, l'appelante devra continuer à dédommager la victime Z.________, conformément à la convention civile passée devant le juge de première instance (art. 44 al. 2 CP). Le non-respect de cette règle de conduite entraînera la révocation immédiate du sursis. 3.6 Enfin, d'après l'art. 42 al. 4 CP, le juge peut prononcer, en plus d'une peine assortie du sursis, une peine pécuniaire sans sursis ou une amende selon l'art. 106 CP. L'art. 106 al.1 CP dispose que sauf disposition contraire de la loi le montant maximum de l'amende est de 10'000 francs. Pour tenir compte du caractère accessoire des peines cumulées, il se justifie en principe d'en fixer la limite supérieure à un cinquième, respectivement à 20%, de la peine principale. Si une peine combinée est justifiée, les deux sanctions considérées ensemble doivent, en outre, correspondre à la gravité de la faute (TF, 6B_61/2010, 27 juillet 2010 c. 5.1 et 2; CCASS, 28 juin 2010, no 260, c. 2.5.1 et la jurisprudence citée). Enfin, la règle selon laquelle la peine accessoire de l’art. 42 al. 4 CP ne doit pas dépasser 20% se calcule sur le total des deux peines cumulées calculées en jours (ATF 135 IV 188 c. 3.4.4), et les peines combinées, dans leur somme totale (en francs), doivent être adaptées à la faute (ATF 134 IV 1 c. 4.5.2 p. 8; 134 IV 60 c. 7.3.2 p. 75). Dans le cas présent, une sanction ferme accompagnant la sanction avec sursis est nécessaire pour amener la prévenue à s'amender. Elle sert à attirer l'attention de l'appelante sur le sérieux de la situation en la sensibilisant à ce qui l'attend si elle ne s'amende pas (ATF 134 IV 60 c. 7.3.1 p. 75). Une amende de 500 francs respecte les règles mentionnées ci-dessus. Combinée avec la peine principale comptée en francs -[(150 X 30) + 500 = 5000 fr.-], elle tient compte de la faute lourde commise par l'appelante (106 al.3 CP) et de sa situation économique (FF 1999 1952). En outre, convertible, en cas de non paiement fautif, en 5 jours de peine privative de liberté de substitution, elle se trouve dans une juste proportion (7,5 %) par rapport à la peine principale comptée en jours.</w:t>
      </w:r>
    </w:p>
    <w:p>
      <w:r>
        <w:rPr>
          <w:b/>
        </w:rPr>
        <w:t>E. 4</w:t>
      </w:r>
    </w:p>
    <w:p>
      <w:r>
        <w:t>En définitive, l'appel doit être admis et le jugement entrepris réformé dans le sens des considérants.</w:t>
      </w:r>
    </w:p>
    <w:p>
      <w:r>
        <w:rPr>
          <w:b/>
        </w:rPr>
        <w:t>E. 5</w:t>
      </w:r>
    </w:p>
    <w:p>
      <w:r>
        <w:t>Vu le sort de l'appel, les frais d'appel (art. 428 al.1 CPP; art. 20 et 21 TFJP, tarif des frais judiciaires pénaux du 28 septembre 2010; RSV 312.03.01) sont laissés à la charge de l'Etat, y compris l'indemnité due au défenseur d'office de l'appelante (art. 135 al.1 et 3 CPP) calculée selon le tarif prévu par la jurisprudence (ATF 132 I 20; TF du 25 mai 2011 6B_810/2010), plus débours et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