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104 vom 25. Januar 2011</w:t>
      </w:r>
    </w:p>
    <w:p>
      <w:r>
        <w:t>VD Tribunal cantonal, 2011-01-25, FR</w:t>
      </w:r>
    </w:p>
    <w:p>
      <w:r>
        <w:rPr>
          <w:b/>
        </w:rPr>
        <w:t xml:space="preserve">Quelle: </w:t>
      </w:r>
      <w:r>
        <w:t>https://mcp.opencaselaw.ch/entscheid/vd_findinfo_Jug___2011___104</w:t>
      </w:r>
    </w:p>
    <w:p>
      <w:r>
        <w:t>FR: VD_FINDINFO Jug / 2011 / 104 du 25 janvier 2011</w:t>
      </w:r>
    </w:p>
    <w:p>
      <w:r>
        <w:t>IT: VD_FINDINFO Jug / 2011 / 104 del 25 gennaio 2011</w:t>
      </w:r>
    </w:p>
    <w:p>
      <w:pPr>
        <w:pStyle w:val="Heading2"/>
      </w:pPr>
      <w:r>
        <w:t>Regeste</w:t>
      </w:r>
    </w:p>
    <w:p>
      <w:r>
        <w:t>CONFISCATION{DROIT PÉNAL}, DISPOSITIONS PÉNALES DE LA LSTUP, FIXATION DE LA PEINE | 47 CP, 49 CP, 19 LStup, 398 al. 3 let. a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Les faits retenus à la charge de l'appelant ne sont pas contestés et doivent être considérés comme établis au regard du dossier, la motivation détaillée et complète des premiers juges emportant au demeurant la conviction (art. 82 al. 4 CPP). A juste titre, l'appelant ne remet d'ailleurs pas en cause le verdict de culpabilité prononcé par les premiers juges et selon lequel il s'est rendu coupable d’infraction grave à la LStup (Loi fédérale du 3 octobre 1951 sur les stupéfiants et les substances psychotropes, RS 812.121) et d’infraction à la LEtr (Loi fédérale du 16 décembre 2005 sur les étrangers, RS 142.20).</w:t>
      </w:r>
    </w:p>
    <w:p>
      <w:r>
        <w:rPr>
          <w:b/>
        </w:rPr>
        <w:t>E. 3</w:t>
      </w:r>
    </w:p>
    <w:p>
      <w:r>
        <w:t>E.________ conteste la quotité de la peine qui lui a été infligée, considérant qu'elle est arbitrairement sévère compte tenu notamment du fait que ni son chiffre d’affaires ni son bénéfice n’ont pu être établis. Il allègue également qu’il n’était en réalité qu’un simple trafiquant de rue.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w:t>
      </w:r>
    </w:p>
    <w:p>
      <w:r>
        <w:rPr>
          <w:b/>
        </w:rPr>
        <w:t>E. 3.2</w:t>
      </w:r>
    </w:p>
    <w:p>
      <w:r>
        <w:t>Dans le domaine spécifique des infractions à la LStup, le Tribunal fédéral a, en outre, dégagé les principes suivants (cf. TF 6B_969/2010 du 31 mars 2011 c. 3.1 ; TF 6B_922/2010 du 25 janvier 2011 c. 3.3)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 de déterminer la nature de sa participation et sa position au sein de l'organisation: un simple passeur est ainsi moins coupable que celui qui joue un rôle décisif dans la mise sur pied des opérations et qui participe de manière importante au bénéfice illicite. L'étendue géographique du trafic entre également en considération. Un trafic purement local sera en règle générale considéré comme moins grave qu’un trafic avec des ramifications internationales. En effet, l’importation en Suisse de drogues a des répercussions plus graves que le seul transport à l’intérieur des frontières. Le nombre d'opérations constitue également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w:t>
      </w:r>
    </w:p>
    <w:p>
      <w:r>
        <w:rPr>
          <w:b/>
        </w:rPr>
        <w:t>E. 3.3</w:t>
      </w:r>
    </w:p>
    <w:p>
      <w:r>
        <w:t>Dans le cas d'espèce, la culpabilité de E.________ est très lourde. L’appelant s’est livré à un important trafic de drogue: il a vendu 297 grammes de cocaïne et a été interpellé en possession de 627,9 grammes de cette drogue qu’il s’apprêtait à vendre et dont une partie était déjà conditionnée en boulettes. Son activité délictueuse a ainsi porté sur 924,9 grammes de cocaïne brute, ce qui représente une quantité de 266,3 grammes de cocaïne pure compte tenu d'un taux de pureté moyen de 28,8%. En outre, E.________ s'est livré au trafic de cocaïne dès son arrivée en Suisse et son activité délictueuse s'est poursuivie sur plus de trois ans, ayant uniquement été interrompue par son interpellation le 27 mai 2010. Ces éléments démontrent que l'appelant avait une volonté délictuelle intense. Par ailleurs, les premiers juges ont très justement retenu à charge de l'appelant le concours d'infractions au sens de l'art. 49 al. 1 CP. Ce dernier s'est effectivement rendu coupable d'infraction grave à la LStup ainsi que d'infraction à la LEtr. Le comportement de E.________ lors de la procédure doit également être pris en considération. Ce dernier a démontré une faible prise de conscience de la gravité de ses actes, tentant de minimiser jusqu’au bout son activité délictueuse. En effet, il a été interpellé le 27 mai 2010 dans l’appartement de son amie à Yverdon-les Bains alors qu’il était en train de confectionner des boulettes de cocaïne. Lors de la visite domiciliaire effectuée dans cet appartement, deux chaussettes contenant 43 fingers et demi de cocaïne ont été découvertes dans un paquet de Frosties ainsi que différentes autres boulettes d’un poids total de 627,9 grammes de cocaïne. L’appelant a admis aux débats de première instance avoir participé à la confection d’un finger de cocaïne et avoir remis une paire de chaussettes au dénommé [...], mais a nié savoir qu’il y avait de la drogue dans la boîte de Frosties accusant le précité d’y avoir déposé la drogue retrouvée lors de son interpellation (jgt, pp. 4-5). Toutefois, il a nié l’évidence puisque seul son ADN et ses empreintes digitales ont été relevés sur l’assiette contenant les boulettes de cocaïne en préparation, sur les boulettes se trouvant dans l’assiette, sur la pointe d’une des deux chaussettes contenant 36 fingers de cocaïne ainsi que sur l’élastique refermant celle-ci (P. 21 et 22). Il a également, lors des débats de première instance, continué, en présence de ses anciens clients toxicomanes, à contester leurs déclarations (cf. jgt, p. 16). Il convient encore de relever que l’appelant n’était pas un simple trafiquant de rue ainsi qu’il l’a soutenu devant la Cour d’appel, mais a fait au contraire preuve de professionnalisme. Toutes les personnes entendues en qualité de témoins en première instance ont affirmé que l’intéressé était toujours disponible et qu’il changeait régulièrement de numéro de téléphone (jgt, p. 17). En outre, il possédait plusieurs téléphones portables et a eu, sur une période d’un peu plus de deux mois, plus de 6'700 connections téléphoniques qui concernaient plusieurs centaines de numéros différents, dont des cabines téléphoniques et des raccordements espagnols, autrichiens, allemands, français, nigérians et suisse (jgt, p. 19; P. 29). Finalement, il faut prendre en compte les antécédents du prévenu, même si son casier judiciaire autrichien n’en fait pas mention, puisque ce dernier a confirmé avoir été condamné en Autriche pour trafic de stupéfiants à une peine privative de liberté d’une année (jgt, p. 3). Cette affirmation est en outre corroborrée par le rapport final de la Police cantonale (P. 29, p. 2). Il faut relever que cette condamnation ne l’a pas empêché de réitérer la même activité délictueuse aussitôt arrivé en Suisse. Il n’existe aucun élément à décharge si ce n’est, tout au plus, une situation personnelle difficile, sa mère étant décédée lorsqu’il était enfant et son père étant recherché au Nigeria pour avoir sacrifié une femme (jgt, pp. 10-11). L'ensemble de ce qui précède a été pris en compte par les premiers juges. Ils ne se sont pas fondés sur des critères étrangers à l'art. 47 CP et ne sont pas sortis du cadre légal en fixant une peine privative de liberté de quatre ans. La quotité de la peine infligée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La détention subie depuis le jugement de première instance sera déduite, en application de l'art. 51 CP.</w:t>
      </w:r>
    </w:p>
    <w:p>
      <w:r>
        <w:rPr>
          <w:b/>
        </w:rPr>
        <w:t>E. 4</w:t>
      </w:r>
    </w:p>
    <w:p>
      <w:r>
        <w:t>E.________ conteste également les conséquences accessoires du jugement concernant le sort de certains objets séquestrés. Il requiert que les téléphones portables de marque Nokia, l’ordinateur portable de marque HP Pavillon ainsi que l’appareil photo numérique de marque Panasonic UNIX avec carte SD 4 GB séquestrés sous fiche n° 1839 lui soient restitués. Lors de l’audience devant la Cour d’appel, l’intéressé a expliqué avoir besoin de ses téléphones pour appeler des amis en Europe et au Nigeria.</w:t>
      </w:r>
    </w:p>
    <w:p>
      <w:r>
        <w:rPr>
          <w:b/>
        </w:rPr>
        <w:t>E. 4.1</w:t>
      </w:r>
    </w:p>
    <w:p>
      <w:r>
        <w:t>En vertu de l’art. 69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En vertu de l’art. 267 al. 3 CPP, il est statué sur la restitution à l’ayant droit des objets et des valeurs patrimoniales séquestrés qui n’ont pas été libérés auparavant, leur utilisation pour couvrir les frais ou leur confiscation dans la décision finale. L'art. 69 CP est une norme obligatoire ; lorsque les conditions de la confiscation sont réunies, celle-ci doit être ordonnée (Hirsig-Vouilloz, in Roth/Moreillon (éd.), Commentaire romand, Code pénal I, n. 8 ad art. 69 CP). Selon cette disposition, la confiscation peut porter soit sur des choses qui ont servi ou devaient servir à commettre une infraction, tels que des téléphones portables utilisés lors d’une infraction, soit sur des choses qui sont le produit d’une infraction, tels que des stupéfiants (Hirsig-Vouilloz, op. cit., nn. 23-24 ad art. 69 CP). Pour procéder à une confiscation, il doit donc exister un lien de connexité entre la commission d’une infraction et l’objet à confisquer. Le simple fait qu’un objet soit généralement destiné ou propre à être éventuellement utilisé pour commettre une infraction n’est pas suffisant. Il faut, mais il suffit, qu’il existe un risque sérieux que l’objet puisse servir à commettre une infraction (Hirsig-Vouilloz, op. cit., nn. 28-29 ad art. 69 CP ; TF 6S.317/2006 du 10 octobre 2006 c. 2.3.1 ; ATF 125 IV 185 c.2). Le doute sur la connexité entre un objet et l’infraction doit profiter à l’accusé (Favre/Pellet/Stoudmann, Code pénal annoté, Lausanne 2007, n.1.1 ad art. 69 CP). Pour pouvoir prononcer une confiscation, il faut également que les objets qui ont servi ou devaient servir à commettre une infraction ou qui en sont le produit compromettent la sécurité des personnes, la morale ou l’ordre public. On ne saurait cependant émettre des exigences élevées en ce qui concerne ce danger ; il suffit qu’il soit vraisemblable que, sans cette mesure, il y ait un danger si l’objet n’est pas confisqué en main de l’ayant droit. Une telle vraisemblance peut exister bien que l’objet soit dangereux non par sa nature mais seulement par l’usage dont il est susceptible (Hirsig-Vouilloz, op. cit., nn. 25-26 ad art. 69 CP). D’une manière générale, on sera porté à admettre l’existence du risque exigé par l’art. 69 CP si l’objet en cause a été acquis pour commettre des infractions et si, dans les mains de l’auteur, il a été utilisé plusieurs fois dans ce but, ou encore qu’il ne puisse servir qu’à cela (ibidem ; ATF 116 IV 117). Finalement, la confiscation doit respecter le principe de proportionnalité et elle ne s’impose donc que dans la mesure où elle est nécessaire pour sauvegarder la sécurité des personnes, la morale ou l’ordre public.</w:t>
      </w:r>
    </w:p>
    <w:p>
      <w:r>
        <w:rPr>
          <w:b/>
        </w:rPr>
        <w:t>E. 4.2</w:t>
      </w:r>
    </w:p>
    <w:p>
      <w:r>
        <w:t>En l’espèce, les premiers juges ont considéré que les objets réclamés par l’appelant étaient liés à un trafic de stupéfiants et devaient donc confisqués et détruits (jgt, p. 22).</w:t>
      </w:r>
    </w:p>
    <w:p>
      <w:r>
        <w:rPr>
          <w:b/>
        </w:rPr>
        <w:t>E. 4.2.1</w:t>
      </w:r>
    </w:p>
    <w:p>
      <w:r>
        <w:t>S’agissant premièrement des quatre téléphones portables de marque Nokia séquestrés sous fiche n° 1839, trois de ceux-ci portaient les numéros suivants (cf. P. 29, pp. 6 ss) : [...]. Ces trois téléphones portables ont été utilisés par le prévenu pour effectuer son trafic de stupéfiants (P. 29, pp. 6-7). Le quatrième téléphone portable n’a pas de numéro d’appel connu, mais un no IMEI 355242034132950 et une carte SIM Sunrise 89410211587000411385 et a été saisi en main d'[...], amie du prévenu et locataire de l’appartement dans lequel ce dernier a été interpellé le 27 mai 2010 (P. 25 et 32). La précitée a été arrêtée en même temps que E.________. Cet objet a donc manifestement également servi à commettre un trafic de stupéfiants. Les quatre téléphones susmentionnés ont donc servi à commettre des infractions à la LStup et compromettent la sécurité des personnes et l’ordre public. Partant, les conditions de l’art. 69 CP sont réunies et la confiscation ainsi que la destruction de ces téléphones sont justifiées.</w:t>
      </w:r>
    </w:p>
    <w:p>
      <w:r>
        <w:rPr>
          <w:b/>
        </w:rPr>
        <w:t>E. 4.2.2</w:t>
      </w:r>
    </w:p>
    <w:p>
      <w:r>
        <w:t>Concernant deuxièmement l’ordinateur portable de marque HP Pavillion ainsi que l’appareil photo numérique de marque Panasonic UNIX avec carte SD 4 GB séquestrés sous fiche n° 1839, ces objets ont été saisis en mains [...] (P. 32), arrêtée en même temps que l’appelant le 27 mai 2010 (P. 39). Ces deux objets, comme les quatre téléphones portables précités, ont été saisis dans l’appartement de cette dernière à [...]. Toutefois, il n’existe aucun élément au dossier permettant de retenir que l’ordinateur portable et l’appareil photo ont servi ou devaient servir à la commission d’infractions ou en étaient le produit. Partant, le lien de connexité entre ces deux objets et les infractions à la LStup n’a pas été démontré et le doute sur cette connexité doit profiter à l’appelant (cf. Favre/Pellet/Stoudmann, n.1.1 ad art. 69 CP cité plus haut). Partant, la confiscation et la destruction de l’ordinateur portable de marque HP Pavillion ainsi que l’appareil photo numérique de marque Panasonic UNIX avec carte SD 4 GB séquestrés sous fiche n° 1839 ne sont pas justifiées. Ils doivent donc être restitués à E.________. Ce dernier a en effet été reconnu comme étant le propriétaire de ces deux objets par le tribunal de première instance (cf. jgt, p. 19), de sorte qu’il doit être considéré comme l’ayant droit, même si ces objets ont été saisis en mains [...]. Cette dernière a effectivement affirmé que l'entier des stupéfiants, téléphones et autres objets trouvés à son domicile le 27 mai 2010 appartenaient à l'appelant. En outre, même si l’art. 267 al. 3 CPP le permet, il n’est pas judicieux de conserver ces objets en vue de couvrir les frais, dès lors qu'ils n’ont plus aucune valeur résiduelle.</w:t>
      </w:r>
    </w:p>
    <w:p>
      <w:r>
        <w:rPr>
          <w:b/>
        </w:rPr>
        <w:t>E. 4.2.3</w:t>
      </w:r>
    </w:p>
    <w:p>
      <w:r>
        <w:t>En définitive, il convient de confirmer la confiscation et la destruction des quatre téléphones portables de marque Nokia, de lever le séquestre de l’ordinateur portable de marque HP Pavillion et de l’appareil photo numérique de marque Panasonic UNIX avec carte SD 4 GB, et d’ordonner leur restitution à l’appelant.</w:t>
      </w:r>
    </w:p>
    <w:p>
      <w:r>
        <w:rPr>
          <w:b/>
        </w:rPr>
        <w:t>E. 5</w:t>
      </w:r>
    </w:p>
    <w:p>
      <w:r>
        <w:t>Au vu de ce qui précède, l'appel doit être partiellement admis et le jugement attaqué modifié à son chiffre V en ce sens que l’ordinateur portable de marque HP Pavillion blanc et noir no de série CNF 946C7D2 et l’appareil photo numérique de marque Panasonic UNIX 10L9SC005417 avec carte SD 4 GB, séquestrés sous fiche n° 1839 sont restitués à E.________. Le jugement entrepris est maintenu pour le surplus. Vu l'issue de la cause, les frais de la procédure d'appel doivent être mis à raison des trois quarts à la charge de E.________, le solde étant laissé à la charge de l’Etat (art. 428 al. 1 CPP). Outre l'émolument, qui se monte à 2'130 fr. (art. 21 al. 1 et 2 TFJP [Tarif des frais judiciaires pénaux du 28 septembre 2010, RSV 312.03.1]), ces frais comprennent l'indemnité d'office allouée au conseil de l'appelant (cf. art. 135 al. 2 et 422 al. 2 let. a CPP, art. 2 al. 2 ch. 1 TFJP). Le conseil d'office de E.________ ayant indiqué que son avocat-stagiaire, agissant sous sa responsabilité, avait consacré sept heures à la procédure d'appel, l'indemnité sera arrêtée à 831 fr. 60, TVA et débours inclus (cf. art. 135 al. 1 CPP).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