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103 vom 24. Februar 2011</w:t>
      </w:r>
    </w:p>
    <w:p>
      <w:r>
        <w:t>VD Tribunal cantonal, 2011-02-24, FR</w:t>
      </w:r>
    </w:p>
    <w:p>
      <w:r>
        <w:rPr>
          <w:b/>
        </w:rPr>
        <w:t xml:space="preserve">Quelle: </w:t>
      </w:r>
      <w:r>
        <w:t>https://mcp.opencaselaw.ch/entscheid/vd_findinfo_Jug___2011___103</w:t>
      </w:r>
    </w:p>
    <w:p>
      <w:r>
        <w:t>FR: VD_FINDINFO Jug / 2011 / 103 du 24 février 2011</w:t>
      </w:r>
    </w:p>
    <w:p>
      <w:r>
        <w:t>IT: VD_FINDINFO Jug / 2011 / 103 del 24 febbraio 2011</w:t>
      </w:r>
    </w:p>
    <w:p>
      <w:pPr>
        <w:pStyle w:val="Heading2"/>
      </w:pPr>
      <w:r>
        <w:t>Regeste</w:t>
      </w:r>
    </w:p>
    <w:p>
      <w:r>
        <w:t>ACCIDENT DE LA CIRCULATION, MOYEN DE DROIT CANTONAL, PROCÉDURE ÉCRITE, JUGE UNIQUE, CONTRAVENTION, APPRÉCIATION DES PREUVES, CONSTATATION DES FAITS, PRÉSOMPTION D'INNOCENCE, CONDUCTEUR, AUTEUR{DROIT PÉNAL}, CIRCULATION ROUTIÈRE{DROIT DE LA CIRCULATION ROUTIÈRE} | 6 par. 2 CEDH, 32 al. 1 Cst., 398 al. 4 CPP (CH), 406 al. 1 let. c CPP (CH), 14 al. 3 LVCPP</w:t>
      </w:r>
    </w:p>
    <w:p>
      <w:pPr>
        <w:pStyle w:val="Heading2"/>
      </w:pPr>
      <w:r>
        <w:t>Erwägungen</w:t>
      </w:r>
    </w:p>
    <w:p>
      <w:r>
        <w:rPr>
          <w:b/>
        </w:rPr>
        <w:t>E. 1</w:t>
      </w:r>
    </w:p>
    <w:p>
      <w:r>
        <w:t>Un appel formé contre un prononcé préfectoral rendu avant l’entrée en vigueur, le 1 er janvier 2011, du Code de procédure pénale suisse du 5 octobre 2007 (CPP, RS 312.0) relève de l’ancien droit (art. 453 al. 1 et 455 CPP). Etaient donc applicables à la procédure devant le tribunal de police les dispositions du Code de procédure pénale vaudois du 12 septembre 1967 (CPP-VD, RSV 312.01), abrogé au 31 décembre 2010, quand bien même l’audience a eu lieu en 2011. L’appel à la cour de céans est néanmoins ouvert nonobstant que l’ancienne loi vaudoise du 18 novembre 1969 sur les contraventions (LContr, RSV 312.11), en vigueur jusqu’au 31 décembre 2010, excluait tout recours cantonal contre les jugements statuant sur des contraventions de droit fédéral, d’autant que les voies de l’appel ont été indiquées à un justiciable non assisté.</w:t>
      </w:r>
    </w:p>
    <w:p>
      <w:r>
        <w:rPr>
          <w:b/>
        </w:rPr>
        <w:t>E. 2</w:t>
      </w:r>
    </w:p>
    <w:p>
      <w:r>
        <w:t>Interjeté en temps utile, l’appel satisfait en outre aux exigences de motivation prévues à l’art. 399 al. 3 et 4 CPP, de sorte qu’il est recevable en la forme. En revanche, la conclusion nouvelle prise dans le mémoire tendant à la reprise de l’enquête est tardive et, partant, irrecevable ; elle sort au surplus de ce qui peut relever de la procédure d’appel.</w:t>
      </w:r>
    </w:p>
    <w:p>
      <w:r>
        <w:rPr>
          <w:b/>
        </w:rPr>
        <w:t>E. 3</w:t>
      </w:r>
    </w:p>
    <w:p>
      <w:r>
        <w:t>a) S’agissant d’un appel dirigé contre une contravention, la procédure applicable est écrite (art. 406 al. 1 let. c CPP) et la cause ressortit à la compétence d’un juge unique (art. 14 al. 3 LVCPP [loi vaudoise du 19 mai 2009 d’introduction du Code de procédure pénale suisse, RSV 312.01]). b) 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il n’est pas contesté que seule une contravention à la législation routière a fait l’objet de l’accusation et du jugement de première instance, de sorte que l’appel est restreint. Les pièces produites avec la déclaration d’appel sont ainsi irrecevables ; deux d’entre elles figurent toutefois déjà dans le dossier de première instance.</w:t>
      </w:r>
    </w:p>
    <w:p>
      <w:r>
        <w:rPr>
          <w:b/>
        </w:rPr>
        <w:t>E. 4</w:t>
      </w:r>
    </w:p>
    <w:p>
      <w:r>
        <w:t>L’appelant ne remet en cause ni l’accident en tant que tel ni le principe de la violation des règles de la circulation routière, mais conteste avoir été le conducteur du motocycle au moment de l’accident. Il soutient avoir été le passager du véhicule, dont il avait confié les rênes à un dénommé Y.________ pour un essai. a)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 TF 1C_517/2010 du 7 mars 2011 c. 2.1). Le Tribunal fédéral a récemment rappelé les principes applicables aux cas dans lesquels le détenteur d’un véhicule conteste en avoir été le conducteur (TF 6B_562/2010 du 28 octobre 2010, JT 2010 I 567, spéc. c. 2.1.1 et 2.1.2). La présomption d’innocence, garantie par l’art. 32 al. 1 Cst. (Constitution fédérale de la Confédération suisse du 18 avril 1999, RS 101), l’art. 6 par. 2 CEDH (Convention du 4 novembre 1950 de sauvegarde des droits de l’homme et des libertés fondamentales, RS 0.101) et l’art. 14 al. 2 Pacte ONU II (Pacte international du 16 décembre 1966 relatif aux droits civils et politiques, RS 0.103.2),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Dans cette mesure, elle se confond avec l’interdiction générale de l’arbitraire, prohibant une appréciation reposant sur des preuves inadéquates ou sans pertinence (ATF 124 IV 86 c. 2a ; ATF 120 Ia 31 c. 2c).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 ATF 105 Ib 114 c.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(ATF 106 IV 142 c. 3 ; TF 6B_562/2010 du 28 octobre 2010 c. 2.1.2). b) En l’espèce, aucun grief d’ordre procédural ne saurait être adressé au premier juge, qui a rédigé le jugement conformément aux principes tirés de l’art. 373 CPP-VD. L’art. 8 CC (Code civil suisse du 10 décembre 1907, RS 210) ne s’applique pas en matière pénale et l’argumentation que l’appelant tire de cette disposition n’est dès lors pas pertinente. Le premier juge n’a pas violé la présomption d’innocence en inversant le fardeau de la preuve : il s’est fondé, pour parvenir à la constatation que l’appelant était bien le conducteur du motocycle au moment de l’accident, sur des éléments concrets rapportés par le rapport de police. Le prévenu, qui n’a déposé aucune requête de récusation, ni devant le premier juge au moment où auraient été formulées les remarques critiquées, ni dans les conclusions de sa déclaration d’appel, ne saurait se plaindre à ce stade que son droit à un procès équitable aurait été violé. Au fond, quand bien même certaines déclarations relatées dans le jugement n’apparaissent pas déterminantes, le raisonnement factuel du premier juge doit être confirmé. Il n’était certainement pas arbitraire de se fonder sur les différents témoignages recueillis qui, même s’ils procédaient de visions partielles de la situation, concordaient sur le fait que l’appelant était seul sur place et au guidon de son motocycle. Cette conclusion était d’ailleurs corroborée par le fait que rien ne permettait de tenir pour plausible l’existence même du dénommé Y.________, que les indications du prévenu n’ont jamais permis d’identifier malgré deux rencontres survenues selon lui en cours de procédure. Il ne saurait davantage être reproché au premier juge de ne pas avoir tenu compte d’un courriel manifestement sans pertinence, pas plus que de s’être fondé sur le rapport de police. Pour le surplus, l’appelant se contente d’exposer sa propre version des faits sans nullement démontrer en quoi l’état de fait aurait été développé de façon manifestement inexacte ou arbitraire. Quant aux griefs de violation d’une obligation d’assistance ou de violation de la dignité humaine, ils sont sans pertinence dans le contexte de l’art. 398 al. 4 CPP.</w:t>
      </w:r>
    </w:p>
    <w:p>
      <w:r>
        <w:rPr>
          <w:b/>
        </w:rPr>
        <w:t>E. 5</w:t>
      </w:r>
    </w:p>
    <w:p>
      <w:r>
        <w:t>Il résulte de l’ensemble de ce qui précède que l’appel ne peut être que rejeté et le jugement attaquée confirmé. Vu l'issue de la cause, les frais de procédure seront supportés par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