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 vom 7. Februar 2011</w:t>
      </w:r>
    </w:p>
    <w:p>
      <w:r>
        <w:t>VD Tribunal cantonal, 2011-02-07, FR</w:t>
      </w:r>
    </w:p>
    <w:p>
      <w:r>
        <w:rPr>
          <w:b/>
        </w:rPr>
        <w:t xml:space="preserve">Quelle: </w:t>
      </w:r>
      <w:r>
        <w:t>https://mcp.opencaselaw.ch/entscheid/vd_findinfo_Jug___2011___10</w:t>
      </w:r>
    </w:p>
    <w:p>
      <w:r>
        <w:t>FR: VD_FINDINFO Jug / 2011 / 10 du 7 février 2011</w:t>
      </w:r>
    </w:p>
    <w:p>
      <w:r>
        <w:t>IT: VD_FINDINFO Jug / 2011 / 10 del 7 febbraio 2011</w:t>
      </w:r>
    </w:p>
    <w:p>
      <w:pPr>
        <w:pStyle w:val="Heading2"/>
      </w:pPr>
      <w:r>
        <w:t>Regeste</w:t>
      </w:r>
    </w:p>
    <w:p>
      <w:r>
        <w:t>DÉTENTION PRÉVENTIVE, RISQUE DE FUITE | 212 CPP (CH), 221 CPP (CH), 230 CPP (CH), 393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peu claire de cette disposition, il y a lieu d’admettre que le détenu peut notamment attaquer devant l’autorité de recours une décision du tribunal des mesures de contrainte refusant la libération de la détention pour des motifs de sûreté durant la procédure de première instance, au sens de l’art. 230 al. 3 ou 4 CPP (Forster, in Niggli/Heer/Wiprächtiger (éd.), Basler Kommentar, Schweizerische Strafprozessordnung, 2011, n. 3 ad art. 222 CPP ; cf. Schmocker, in Kuhn/Jeanneret (éd.), Commentaire romand, Code de procédure pénale suisse, 2011, n. 6 ad art. 222 CPP ; Hug, in Donatsch/Hansjakob/Lieber (éd.), Kommentar zur Schweizerischen Strafprozessordnung, 2010, n. 2 ad art. 222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 art. 80 LOJV [Loi d'organisation judiciaire du 12 décembre 1979, RSV 173.01]). En l’espèce, il y a donc lieu d’entrer en matière sur le recours, qui a été interjeté en temps utile – compte tenu du fait que le dernier jour du délai était un samedi et qu’il a donc expiré lundi 31 janvier 2011 (cf. art. 90 al. 2 CPP) – devant l’autorité compétente et satisfait aux conditions de forme posées par l’art. 385 al. 1 CPP.</w:t>
      </w:r>
    </w:p>
    <w:p>
      <w:r>
        <w:rPr>
          <w:b/>
        </w:rPr>
        <w:t>E. 2</w:t>
      </w:r>
    </w:p>
    <w:p>
      <w:r>
        <w:t>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 jurisprudence du Tribunal fédéral, le risque de fuite doit s'analyser en fonction d'un ensemble de critères tels que le caractère de l'intéressé, sa moralité, ses ressources, ses liens avec l'Etat qui le poursuit ainsi que ses contacts à l'étranger (TF 1B_422/2010 du 11 janvier 2011 c. 2.1; ATF 117 Ia 69 c. 4a et la jurisprudence citée). En vertu des art. 31 al. 3 Cst. (Constitution fédérale de la Confédération suisse du 18 avril 1999, RS 101) et 5 par. 3 CEDH (Convention du 4 novembre 1950 de sauvegarde des droits de l’homme et des libertés fondamentales, RS 0.101),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b) Invoquant d'abord une violation du principe de proportionnalité, le recourant soutient que s’il devait être reconnu coupable des faits qui lui sont reprochés, il ne saurait être condamné à une peine dépassant la durée de la détention effectuée à ce jour, à savoir 215 jours, et encore moins à une peine dépassant la durée de la détention effectuée au jour de l’audience de jugement à venir, soit 265 jours, de sorte que sa libération s’imposerait au regard de l’art. 212 al. 3 CPP. En effet, si le recourant est accusé des infractions de lésions corporelles simples qualifiées (art. 123 ch. 2 CP) et de mise en danger de la vie d’autrui (art. 129 CP), seule l’infraction de lésions corporelles simples entrerait en réalité en ligne de compte ; l’infraction de mise en danger, qui suppose que l’auteur ait causé un danger de mort imminent pour autrui, devrait manifestement être écartée sur le vu du rapport du 14 juillet 2010 du Dr [...] (P. 25), qui fait état d’une plaie « superficielle » de 10 cm de long n’ayant pas mis en danger la vie de la victime. Cet argument ne peut qu’être rejeté. Il n’appartient pas au Tribunal des mesures de contrainte ni à la cour de céans de préjuger de la qualification que retiendra le tribunal de première instance, dans la mesure où la qualification retenue dans l’acte d’accusation ne peut d’emblée être écartée sur le vu du dossier. Or le seul fait que selon le rapport du 14 juillet 2010 du Dr [...] (P. 25), la victime a subi une « plaie du flanc gauche d’environ 10 cm, superficielle » et que ces lésions n’ont pas, au moment de l’agression, mis gravement en danger la vie de la victime ne permet nullement de conclure d’emblée que le recourant n’a pas, en portant un coup de couteau qui n’a concrètement provoqué qu’une plaie superficielle n’ayant pas mis les jours de la victime en danger, adopté un comportement propre à provoquer un danger de mort imminent au sens de l’art. 129 CP. Au vu de la peine privative de liberté encourue pour une telle infraction, qui est à elle seule passible d’une peine privative de liberté de cinq ans au plus, on ne saurait admettre qu’au jour du jugement, la détention provisoire respectivement pour des motifs de sûreté aura duré plus longtemps que la peine privative de liberté prévisible. c) Le recourant conteste en outre le risque de fuite, en faisant valoir qu’il est toujours demeuré dans les centres où il était placé et qu’il n’aurait strictement aucun intérêt à fuir pour se soustraire à la poursuite judiciaire ou à l’exécution d’une éventuelle peine, puisque la durée de cette peine sera selon lui inférieure à la détention subie et surtout assortie d’un sursis qui lui serait vraisemblablement refusé s’il devait faire défaut à l’audience de jugement. Cet argument doit également être rejeté. En effet, ainsi que le Tribunal d’accusation l’avait déjà relevé dans son arrêt du 8 octobre 2010, le recourant a déjà été condamné à une peine privative de liberté, alors qu’il était encore mineur, pour infraction à la LStup, sa demande d’asile a été refusée, de sorte que sa situation en Suisse est précaire, et il n’a aucune attache en Suisse. Dans ces circonstances, et compte tenu du fait que le recourant risque d’être condamné, à l’audience de jugement du 22 mars 2011, à une peine privative de liberté d’une durée supérieure à celle de la détention provisoire respectivement pour motifs de sûreté déjà subie (cf. c. 2b supra), il existe un risque concret que le recourant prenne la fuite pour se soustraire à l’exécution de la peine qui pourrait être prononcée à son encontre, peine dont il est loin d’être certain qu’elle serait assortie du sursis.</w:t>
      </w:r>
    </w:p>
    <w:p>
      <w:r>
        <w:rPr>
          <w:b/>
        </w:rPr>
        <w:t>E. 3</w:t>
      </w:r>
    </w:p>
    <w:p>
      <w:r>
        <w:t>Il résulte de ce qui précède que le recours doit être rejeté. Les frais de la procédure de recours, constitués de l’émolument d'arrêt, par 770 fr. (art. 20 al. 1 TFJP [Tarif des frais judiciaires pénaux du 28 septembre 2010, RSV 312.03.1), ainsi que des frais imputables à la défense d’office (art. 422 al. 1 et al. 2 let. a CPP), fixés à 360 fr., plus la TVA, par 28 fr. 80, soit un total de 388 fr. 80, sont mis à la charge du recourant, qui succombe (art. 428 al. 1 CPP). Le remboursement à l'Etat de l'indemnité allouée au défenseur d'office de K.________ ne sera toutefois exigible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K.________. IV. Dit que les frais de la présente décision, par 770 fr. (sept cent septante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K.________ se soit améliorée. VI. Déclare la présente décision exécutoire. Le président :               La greffière : Du Le jugement qui précède, dont la rédaction a été approuvée à huis clos, est notifié, par l'envoi d'une copie complète, à : - M. Cyrille Piguet, avocat (pour K.________), - Procureur général du canton de Vaud. et communiqué à : ‑ Tribunal des mesures de contrainte.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