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59 vom 30. Juni 2010</w:t>
      </w:r>
    </w:p>
    <w:p>
      <w:r>
        <w:t>VD Tribunal cantonal, 2010-06-30, FR</w:t>
      </w:r>
    </w:p>
    <w:p>
      <w:r>
        <w:rPr>
          <w:b/>
        </w:rPr>
        <w:t xml:space="preserve">Quelle: </w:t>
      </w:r>
      <w:r>
        <w:t>https://mcp.opencaselaw.ch/entscheid/vd_findinfo_Jug___2010___59</w:t>
      </w:r>
    </w:p>
    <w:p>
      <w:r>
        <w:t>FR: VD_FINDINFO Jug / 2010 / 59 du 30 juin 2010</w:t>
      </w:r>
    </w:p>
    <w:p>
      <w:r>
        <w:t>IT: VD_FINDINFO Jug / 2010 / 59 del 30 giugno 2010</w:t>
      </w:r>
    </w:p>
    <w:p>
      <w:pPr>
        <w:pStyle w:val="Heading2"/>
      </w:pPr>
      <w:r>
        <w:t>Regeste</w:t>
      </w:r>
    </w:p>
    <w:p>
      <w:r>
        <w:t>DIVORCE, PRÉVOYANCE PROFESSIONNELLE, PARTAGE{SENS GÉNÉRAL} | 122 CC, 142 CC, 22 LFLP, 110 al. 1 LPA-VD, 111 al. 1 LPA-VD</w:t>
      </w:r>
    </w:p>
    <w:p>
      <w:pPr>
        <w:pStyle w:val="Heading2"/>
      </w:pPr>
      <w:r>
        <w:t>Volltext</w:t>
      </w:r>
    </w:p>
    <w:p>
      <w:r>
        <w:t>Vaud Tribunal cantonal Cour des assurances sociales 30.06.2010 Jug / 2010 / 59</w:t>
      </w:r>
    </w:p>
    <w:p>
      <w:r>
        <w:t>DIVORCE, PRÉVOYANCE PROFESSIONNELLE, PARTAGE{SENS GÉNÉRAL} | 122 CC, 142 CC, 22 LFLP, 110 al. 1 LPA-VD, 111 al. 1 LPA-VD</w:t>
      </w:r>
    </w:p>
    <w:p>
      <w:r>
        <w:t>TRIBUNAL CANTONAL PPD 8/09 – 42/2010 COUR DES ASSURANCES SOCIALES _____________________________________________ Jugement du 30 juin 2010 __________________ Présidence de               Mme Thalmann , juge unique Greffière :              Mme Favre ***** Cause divisant entre elles les parties suivantes: Z.________ , à Renens, représentée par Me Schnitzler, avocate à Lausanne, X.________ , à Domdidier, V.________ , à Paudex, K.________ , à Winterthur. _______________ Art. 22 LFLP, art. 122, 142 CC E n  f a i t  : A. Le divorce des époux Z.________ et X.________, mariés le 5 février 1983 à Cristoval-Melgaço (Portugal), a été prononcé par jugement du 24 mars 2009 rendu par le Tribunal d'arrondissement de Lausanne. Les chiffres III. et IV. du dispositif dudit jugement ont la teneur suivante: " III. Ordonne le partage par moitié des prestations de sortie acquises pendant le mariage par les parties; IV. dit qu'après l'entrée en force du présent jugement, le dossier de la cause sera transféré d'office au Tribunal cantonal pour l'exécution du partage prévu sous chiffre III. ci-dessus". Le jugement de divorce des époux Z.________ et X.________ est devenu définitif et exécutoire le 21 avril 2009. B. La Cour des assurances sociales du Tribunal cantonal, saisie de ce dossier, a obtenu les informations suivantes des différentes institutions de prévoyance professionnelles concernées. Avoirs de X.________ (renseignements donnés par K.________): - Prestation de sortie au jour du mariage (5 février 1983): 0 fr., - Intérêts acquis sur cette part pendant le mariage: 0 fr., - Prestation de sortie au jour du divorce (21 avril 2009): 75'665 fr. 90. Avoirs de Z.________ (renseignements donnés par V.________): - Prestation de sortie au jour du mariage (5 février 1983): 0 fr., - Intérêts acquis sur cette part pendant le mariage: 0 fr., - Prestation de sortie au jour du divorce (21 avril 2009): 45'917 fr. 40. Ces informations ont été communiquées aux parties le 1 er avril 2010, avec un délai au 3 mai 2010 pour qu'elles se déterminent. Aucune des parties n'a déposé d'observations. E n  d r o i t  : 1. Conformément à l'art. 110 al. 1 LPA-VD (loi vaudoise du 28 octobre 2008 sur la procédure administrative; RSV 173.36), la Cour des assurances sociales du Tribunal cantonal, est compétente en matière de partage des prestations de sortie (voir art. 142 al. 2 CC [Code civil suisse du 10 décembre 1907; RS 210]). En l'absence de contestation des résultats de l'instruction par les parties, le juge instructeur statue comme juge unique sur la base du dossier (art. 111 al. 1 LPA-VD). En l'espèce, dès lors que les parties n'ont pas contesté les résultats de l'instruction, soit en particulier les données chiffrées transmises par les institutions de prévoyance concernées, la présente cause relève de la compétence du juge instructeur qui statue en tant que juge unique. 2. a) Selon l'art. 22 al. 2 LFLP (loi fédérale du 17 décembre 1993 sur le libre passage dans la prévoyance professionnelle vieillesse, survivants et invalidité; RS 831.42), 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matière de prévoyance professionnelle (art. 93 al. 1 let. d LPA-VD), pour procéder au partage en données chiffrées. 3. a) Dès lors que le jugement de divorce est entré en force le 21 avril 2009, dite date est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les avoirs respectifs des ex-époux à la date déterminante de l'entrée en force du jugement de divorce s'élèvent aux montants suivants : - Z.________: 45'917 fr. 40 - X.________: 75'665 fr. 90 Il en résulte une prestation de sortie à transférer par l'institution de prévoyance de X.________ (K.________) auprès de celle de Z.________ (V.________) de ([75'665 fr. 90 – 45'917 fr. 40] / 2) = 14'874 fr. 25. c) Sur la somme de la prestation de sortie à transférer, l'institution de prévoyance débitrice doit en outre verser à la fois un intérêt compensatoire et, en cas de retard, moratoire (TFA B 115/03 du 3 juin 2004, in : BPP n° 76 du 22 juillet 2004, ch. 455). 4. Intérêt compensatoire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Dès le 1 er janvier 2009, ce taux s'élève à 2 % (BPP n° 108 du 27 octobre 2008 ch. 662); il est également de 2% dès le 1 er janvier 2010 (BPP n° 115 du 24 novembre 2009, ch. 713).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Les institutions de prévoyance dites «enveloppantes»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«Schattenrechnung», Carl Helbling, Personalvorsorge und BVG, Berne 2000, 7 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c) En l'espèce, le jour déterminant pour le calcul de l'intérêt compensatoire est le 21 avril 2009, soit le jour-valeur du partage selon le jugement de divorce. En application des principes dégagés par la jurisprudence précitée (TFA B 105/02 déjà cité), le taux de l'intérêt compensatoire payable sur le montant que doit transférer l'institution de prévoyance débitrice (14'874 fr. 25) est d'au moins 2 % l'an pour la période courant du 21 avril 2009 jusqu'au moment du transfert ou de la demeure (BPP n° 108 et 115 précités). 5. Intérêt moratoire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dans leur teneur actuelle, au taux d'intérêt minimal fixé dans la LPP, augmenté d'un pour-cent. Il est ainsi d'au moins 3 % (soit 2 % + 1 %) pour l'année 2010 (cf. BPP n° 115 déjà cité).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K.________ sera également débitrice d'un intérêt moratoire de 3 % l'an, en sus du montant à transférer augmenté de l'intérêt compensatoire calculé conformément à ce qui précède, pour autant que le règlement de prévoyance ne prévoie pas un taux supérieur (cf. TFA B 105/02 précité, consid. 3.3). 6. a) Cela étant, ordre doit être donné à : - K.________, de prélever sur le compte de libre passage ouvert au nom de X.________, la somme de 14'874 fr. 25 en capital, valeur au 21 avril 2009, plus un intérêt compensatoire d'au moins 2 % l'an du 21 avril 2009 jusqu'au jour du transfert ou de la demeure, et de verser ce montant en faveur de Z.________, sur le compte de libre passage ouvert auprès de V.________. b) En outre, en cas de retard dans le transfert de la prestation de libre passage à transférer calculée comme indiqué ci-dessus : - K.________ versera sur le compte de libre passage ouvert auprès de V.________ en faveur de Z.________ un intérêt moratoire (d'au moins 3 % l'an) sur le montant à transférer (14'874 fr. 25), qui courra le cas échéant dès le 31 e jour suivant l'entrée en force du présent jugement, ou, en cas de recours au Tribunal fédéral, dès que l'arrêt de la Haute Cour aura été rendu. 7. Il n'est pas perçu de frais de justice, ni alloué de dépens (art. 91 LPA-VD, applicable par renvoi de l'art. 99 LPA-VD). Par ces motifs, le juge unique: I. Ordre est donné à K.________ de prélever sur le compte de libre passage ouvert au nom de X.________ la somme de 14'874 fr. 25 (quatorze mille huit cent septante-quatre francs et vingt-cinq centimes), en capital, valeur au 21 avril 2009, plus un intérêt compensatoire d'au moins 2% l'an du 21 avril 2009 jusqu'au jour du transfert ou de la demeure, et de verser ce montant en faveur de Z.________, sur le compte de libre passage ouvert auprès de V.________. II. En cas de retard dans le transfert de la prestation de libre passage calculée comme indiqué ci-dessus, K.________ versera sur le compte de libre passage ouvert auprès de V.________, en faveur de Z.________, un intérêt moratoire (d'au moins 3% l'an) sur le montant à transférer (14'874 fr. 25), qui courra le cas échéant dès le 31 e jours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Me Schnitzler (pour Z.________) ‑ X.________ - K.________ - V.________ - Office fédéral des assurances sociales et communiqué au: - Tribunal civil de l'arrondissement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