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2010 / 54 vom 20. Januar 2010</w:t>
      </w:r>
    </w:p>
    <w:p>
      <w:r>
        <w:t>VD Tribunal cantonal, 2010-01-20, FR</w:t>
      </w:r>
    </w:p>
    <w:p>
      <w:r>
        <w:rPr>
          <w:b/>
        </w:rPr>
        <w:t xml:space="preserve">Quelle: </w:t>
      </w:r>
      <w:r>
        <w:t>https://mcp.opencaselaw.ch/entscheid/vd_findinfo_Jug___2010___54</w:t>
      </w:r>
    </w:p>
    <w:p>
      <w:r>
        <w:t>FR: VD_FINDINFO Jug / 2010 / 54 du 20 janvier 2010</w:t>
      </w:r>
    </w:p>
    <w:p>
      <w:r>
        <w:t>IT: VD_FINDINFO Jug / 2010 / 54 del 20 gennaio 2010</w:t>
      </w:r>
    </w:p>
    <w:p>
      <w:pPr>
        <w:pStyle w:val="Heading2"/>
      </w:pPr>
      <w:r>
        <w:t>Regeste</w:t>
      </w:r>
    </w:p>
    <w:p>
      <w:r>
        <w:t>LÉGITIMATION ACTIVE ET PASSIVE, AYANT DROIT ÉCONOMIQUE, PRINCIPE DE LA TRANSPARENCE{SOCIÉTÉ}, DROIT INTERNATIONAL PRIVÉ, CONSTATATION DU DROIT ÉTRANGER, REJET DE LA DEMANDE | 2 al. 2 CC, 91 let. a CPC, 91 let. c CPC, 92 al. 1 CPC, 1 al. 2 LDIP, 15 LDIP, 154 LDIP, 16 LDIP, 18 LDIP, 2 al. 2 let. a LBA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