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49 vom 9. Juni 2010</w:t>
      </w:r>
    </w:p>
    <w:p>
      <w:r>
        <w:t>VD Tribunal cantonal, 2010-06-09, FR</w:t>
      </w:r>
    </w:p>
    <w:p>
      <w:r>
        <w:rPr>
          <w:b/>
        </w:rPr>
        <w:t xml:space="preserve">Quelle: </w:t>
      </w:r>
      <w:r>
        <w:t>https://mcp.opencaselaw.ch/entscheid/vd_findinfo_Jug___2010___49</w:t>
      </w:r>
    </w:p>
    <w:p>
      <w:r>
        <w:t>FR: VD_FINDINFO Jug / 2010 / 49 du 9 juin 2010</w:t>
      </w:r>
    </w:p>
    <w:p>
      <w:r>
        <w:t>IT: VD_FINDINFO Jug / 2010 / 49 del 9 giugno 2010</w:t>
      </w:r>
    </w:p>
    <w:p>
      <w:pPr>
        <w:pStyle w:val="Heading2"/>
      </w:pPr>
      <w:r>
        <w:t>Regeste</w:t>
      </w:r>
    </w:p>
    <w:p>
      <w:r>
        <w:t>PRÉVOYANCE PROFESSIONNELLE SELON LA LPP, RENTE D'INVALIDITÉ, RETRAIT{VOIE DE DROIT} | 121 CPC, 160 CPC, 161 CPC, 73 LPP, 106 LPA-VD, 109 al. 1 LPA-VD, 109 al. 2 LPA-VD, 109 LPA-VD, 2 LPA-VD, 93 al. 1 let. c LPA-VD, 94 al. 1 let. c LPA-VD</w:t>
      </w:r>
    </w:p>
    <w:p>
      <w:pPr>
        <w:pStyle w:val="Heading2"/>
      </w:pPr>
      <w:r>
        <w:t>Erwägungen</w:t>
      </w:r>
    </w:p>
    <w:p>
      <w:r>
        <w:rPr>
          <w:b/>
        </w:rPr>
        <w:t>E. 2</w:t>
      </w:r>
    </w:p>
    <w:p>
      <w:r>
        <w:t>al. 1 let. c LPA-VD), que la Cour des assurances sociales du Tribunal cantonal est compétente pour statuer (art. 93 al. 1 let. c LPA-VD), qu'il y a lieu sur le plan procédural d'appliquer les règles des art. 106 ss LPA-VD sur l'action de droit administratif (CASSO, jugement du 3 novembre 2009, PP 50/08 ap. TF - 105/2009, consid. 1), que, s'agissant des questions qui ne sont pas réglées par les dispositions de la LPA-VD déclarées applicables par analogie à la procédure d'action (art. 109 al. 1 LPA-VD), il y a lieu d'appliquer les dispositions de la législation sur la procédure civile (art. 109 al. 2 LPA-VD); attendu que selon l’art. 121 al. 1 CPC (Code de procédure civile vaudois du 14 décembre 1966; RSV 2.7), le demandeur peut se désister de son instance jusqu’au dépôt des conclusions au fond du défendeur, que, selon l'art. 160 al. 1 CPC, le passé-expédient est l'acte par lequel une partie adhère aux conclusions de son adversaire, que si l'art. 160 CPC parle, pour le demandeur également, d’adhésion aux conclusions de son adversaire, c’est qu’en vertu de l'art. 121 CPC, le désistement ne porte que sur l’instance aussi longtemps que le défendeur n’a pas conclu au fond et que le passé-expédient du demandeur consiste dès lors dans l’adhésion sans réserve aux conclusions libératoires ou reconventionnelles (Poudret/Haldy/Tappy, Procédure civile vaudoise, 3 e éd., Lausanne 2002, note ad art. 160 CPC, p. 290), qu’en d’autres termes, jusqu’au dépôt des conclusions libératoires de l’autre partie, le demandeur ne peut que se désister, et qu’ensuite, il ne peut plus que passer expédient; attendu qu'en l’espèce, le demandeur a déclaré retirer sa demande après un double d'échange d'écritures, dans lequel la défenderesse avait conclu au déboutement du demandeur de toutes ses conclusions, que le retrait de la demande doit dès lors être considéré comme un passé-expédient du demandeur sur les conclusions libératoires de la défenderesse, qu'il sied de prendre acte de ce passé-expédient pour valoir jugement exécutoire (art. 161 CPC) et de rayer la cause du rôle, qu’il n’y a pas lieu de percevoir des frais de justice, la procédure étant gratuite (art. 73 al. 2 LPP), ni d’allouer des dépens (ATF 126 V 143 consid. 4), que la présente décision est de la compétence du juge instructeur statuant comme juge unique (art. 94 al. 1 let. c LPA-VD, applicable par analogie à la procédure d'action en vertu de l'art. 109 al. 1 LPA-VD). Par ces motifs, le juge unique prononce : I. Il est pris acte du passé-expédient du demandeur V.________ sur les conclusions de la défenderesse caisse G.________ tendant au déboutement du demandeur de ses conclusions en versement d'une rente entière d'invalidité, ce passé-expédient valant jugement exécutoire. II. La cause est rayée du rôle. III. Il n’est pas perçu de frais judiciaires ni alloué de dépens. Le juge unique:               Le greffier: Du Le jugement qui précède est notifié à: ‑ Me Gilles-Antoine Hofstetter (pour V.________), ‑ Me Jacques-André Schneider (pour caisse G.________), - Office fédéral des assurances sociales,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